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3CD8C">
      <w:pPr>
        <w:keepNext w:val="0"/>
        <w:keepLines w:val="0"/>
        <w:pageBreakBefore w:val="0"/>
        <w:widowControl w:val="0"/>
        <w:suppressAutoHyphens/>
        <w:kinsoku/>
        <w:wordWrap/>
        <w:overflowPunct/>
        <w:topLinePunct w:val="0"/>
        <w:autoSpaceDE/>
        <w:autoSpaceDN/>
        <w:bidi w:val="0"/>
        <w:adjustRightInd/>
        <w:snapToGrid/>
        <w:spacing w:line="560" w:lineRule="exact"/>
        <w:ind w:right="0"/>
        <w:jc w:val="both"/>
        <w:textAlignment w:val="auto"/>
        <w:rPr>
          <w:rFonts w:hint="default" w:ascii="Times New Roman" w:hAnsi="Times New Roman" w:eastAsia="仿宋_GB2312" w:cs="Times New Roman"/>
          <w:color w:val="auto"/>
          <w:sz w:val="32"/>
          <w:szCs w:val="32"/>
          <w:highlight w:val="none"/>
          <w:lang w:val="en-US" w:eastAsia="zh-CN"/>
        </w:rPr>
      </w:pPr>
      <w:r>
        <w:rPr>
          <w:rFonts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11BF60FD">
      <w:pPr>
        <w:pageBreakBefore w:val="0"/>
        <w:widowControl w:val="0"/>
        <w:suppressAutoHyphens/>
        <w:kinsoku/>
        <w:wordWrap/>
        <w:overflowPunct/>
        <w:topLinePunct w:val="0"/>
        <w:autoSpaceDE/>
        <w:autoSpaceDN/>
        <w:bidi w:val="0"/>
        <w:adjustRightInd/>
        <w:snapToGrid/>
        <w:spacing w:line="560" w:lineRule="exact"/>
        <w:jc w:val="both"/>
        <w:textAlignment w:val="auto"/>
        <w:rPr>
          <w:rFonts w:ascii="Times New Roman" w:hAnsi="Times New Roman" w:eastAsia="仿宋_GB2312" w:cs="Times New Roman"/>
          <w:color w:val="auto"/>
          <w:sz w:val="32"/>
          <w:szCs w:val="32"/>
          <w:highlight w:val="none"/>
          <w:lang w:val="en-US" w:eastAsia="zh-CN"/>
        </w:rPr>
      </w:pPr>
    </w:p>
    <w:p w14:paraId="6EF955A2">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auto"/>
          <w:sz w:val="44"/>
          <w:szCs w:val="44"/>
          <w:highlight w:val="none"/>
        </w:rPr>
      </w:pPr>
      <w:r>
        <w:rPr>
          <w:rFonts w:ascii="方正小标宋简体" w:hAnsi="方正小标宋简体" w:eastAsia="方正小标宋简体" w:cs="方正小标宋简体"/>
          <w:color w:val="auto"/>
          <w:sz w:val="44"/>
          <w:szCs w:val="44"/>
          <w:highlight w:val="none"/>
        </w:rPr>
        <w:t>自治区安全生产责任保险实施细则</w:t>
      </w:r>
    </w:p>
    <w:p w14:paraId="176B3D01">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征求意见稿</w:t>
      </w:r>
      <w:r>
        <w:rPr>
          <w:rFonts w:hint="eastAsia" w:ascii="楷体_GB2312" w:hAnsi="楷体_GB2312" w:eastAsia="楷体_GB2312" w:cs="楷体_GB2312"/>
          <w:color w:val="auto"/>
          <w:sz w:val="32"/>
          <w:szCs w:val="32"/>
          <w:highlight w:val="none"/>
          <w:lang w:eastAsia="zh-CN"/>
        </w:rPr>
        <w:t>）</w:t>
      </w:r>
    </w:p>
    <w:p w14:paraId="0E58463D">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auto"/>
          <w:sz w:val="44"/>
          <w:szCs w:val="44"/>
          <w:highlight w:val="none"/>
        </w:rPr>
      </w:pPr>
    </w:p>
    <w:p w14:paraId="151FC6D0">
      <w:pPr>
        <w:keepNext/>
        <w:keepLines/>
        <w:widowControl w:val="0"/>
        <w:bidi w:val="0"/>
        <w:spacing w:before="50" w:beforeLines="50" w:after="50" w:afterLines="50" w:line="560" w:lineRule="exact"/>
        <w:ind w:firstLine="0" w:firstLineChars="0"/>
        <w:jc w:val="center"/>
        <w:outlineLvl w:val="1"/>
        <w:rPr>
          <w:rFonts w:ascii="Arial" w:hAnsi="Arial" w:eastAsia="黑体" w:cs="Times New Roman"/>
          <w:bCs/>
          <w:kern w:val="2"/>
          <w:sz w:val="32"/>
          <w:szCs w:val="32"/>
          <w:highlight w:val="none"/>
          <w:lang w:val="en-US" w:eastAsia="zh-CN" w:bidi="ar-SA"/>
        </w:rPr>
      </w:pPr>
      <w:r>
        <w:rPr>
          <w:rFonts w:ascii="Arial" w:hAnsi="Arial" w:eastAsia="黑体" w:cs="Times New Roman"/>
          <w:bCs/>
          <w:kern w:val="2"/>
          <w:sz w:val="32"/>
          <w:szCs w:val="32"/>
          <w:highlight w:val="none"/>
          <w:lang w:val="en-US" w:eastAsia="zh-CN" w:bidi="ar-SA"/>
        </w:rPr>
        <w:t>第一章 总则</w:t>
      </w:r>
    </w:p>
    <w:p w14:paraId="18972D4B">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为了规范安全生产责任保险（以下简称安责险）工作，发挥责任保险在安全生产中的作用，强化风险防范，保障生产经营单位、从业人员以及社会公众生命财产安全及合法权益，推动公共安全治理模式向事前预防转型，根据</w:t>
      </w:r>
      <w:r>
        <w:rPr>
          <w:rFonts w:hint="eastAsia" w:ascii="仿宋_GB2312" w:hAnsi="仿宋_GB2312" w:eastAsia="仿宋_GB2312" w:cs="仿宋_GB2312"/>
          <w:color w:val="auto"/>
          <w:sz w:val="32"/>
          <w:szCs w:val="32"/>
          <w:highlight w:val="none"/>
        </w:rPr>
        <w:t>《中华人民共和国安全生产法》《中华人民共和国保险法》</w:t>
      </w:r>
      <w:r>
        <w:rPr>
          <w:rFonts w:ascii="仿宋_GB2312" w:hAnsi="仿宋_GB2312" w:eastAsia="仿宋_GB2312" w:cs="仿宋_GB2312"/>
          <w:color w:val="auto"/>
          <w:sz w:val="32"/>
          <w:szCs w:val="32"/>
          <w:highlight w:val="none"/>
        </w:rPr>
        <w:t>《安全生产责任保险实施办法》</w:t>
      </w:r>
      <w:r>
        <w:rPr>
          <w:rFonts w:hint="eastAsia" w:ascii="Times New Roman" w:hAnsi="Times New Roman" w:eastAsia="仿宋_GB2312" w:cs="Times New Roman"/>
          <w:snapToGrid w:val="0"/>
          <w:color w:val="auto"/>
          <w:kern w:val="0"/>
          <w:sz w:val="32"/>
          <w:szCs w:val="22"/>
          <w:highlight w:val="none"/>
          <w:lang w:eastAsia="zh-CN"/>
        </w:rPr>
        <w:t>（应急〔2025〕27号）</w:t>
      </w:r>
      <w:r>
        <w:rPr>
          <w:rFonts w:ascii="仿宋_GB2312" w:hAnsi="仿宋_GB2312" w:eastAsia="仿宋_GB2312" w:cs="仿宋_GB2312"/>
          <w:color w:val="auto"/>
          <w:sz w:val="32"/>
          <w:szCs w:val="32"/>
          <w:highlight w:val="none"/>
        </w:rPr>
        <w:t>等法律法规</w:t>
      </w:r>
      <w:r>
        <w:rPr>
          <w:rFonts w:hint="eastAsia" w:ascii="仿宋_GB2312" w:hAnsi="仿宋_GB2312" w:eastAsia="仿宋_GB2312" w:cs="仿宋_GB2312"/>
          <w:color w:val="auto"/>
          <w:sz w:val="32"/>
          <w:szCs w:val="32"/>
          <w:highlight w:val="none"/>
          <w:lang w:val="en-US" w:eastAsia="zh-CN"/>
        </w:rPr>
        <w:t>及相关政策规定</w:t>
      </w:r>
      <w:r>
        <w:rPr>
          <w:rFonts w:ascii="仿宋_GB2312" w:hAnsi="仿宋_GB2312" w:eastAsia="仿宋_GB2312" w:cs="仿宋_GB2312"/>
          <w:color w:val="auto"/>
          <w:sz w:val="32"/>
          <w:szCs w:val="32"/>
          <w:highlight w:val="none"/>
        </w:rPr>
        <w:t>，结合自治区实际，制定本</w:t>
      </w:r>
      <w:r>
        <w:rPr>
          <w:rFonts w:hint="eastAsia" w:ascii="仿宋_GB2312" w:hAnsi="仿宋_GB2312" w:eastAsia="仿宋_GB2312" w:cs="仿宋_GB2312"/>
          <w:color w:val="auto"/>
          <w:sz w:val="32"/>
          <w:szCs w:val="32"/>
          <w:highlight w:val="none"/>
          <w:lang w:val="en-US" w:eastAsia="zh-CN"/>
        </w:rPr>
        <w:t>细则</w:t>
      </w:r>
      <w:r>
        <w:rPr>
          <w:rFonts w:ascii="仿宋_GB2312" w:hAnsi="仿宋_GB2312" w:eastAsia="仿宋_GB2312" w:cs="仿宋_GB2312"/>
          <w:color w:val="auto"/>
          <w:sz w:val="32"/>
          <w:szCs w:val="32"/>
          <w:highlight w:val="none"/>
        </w:rPr>
        <w:t>。</w:t>
      </w:r>
    </w:p>
    <w:p w14:paraId="1A699794">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在自治区行政区域内从事矿山、危险化学品、烟花爆竹、交通运输、建筑施工、民用爆炸物品、金属冶炼</w:t>
      </w:r>
      <w:r>
        <w:rPr>
          <w:rFonts w:ascii="仿宋_GB2312" w:hAnsi="仿宋_GB2312" w:eastAsia="仿宋_GB2312" w:cs="仿宋_GB2312"/>
          <w:color w:val="auto"/>
          <w:sz w:val="32"/>
          <w:szCs w:val="32"/>
          <w:highlight w:val="none"/>
          <w:lang w:eastAsia="zh-CN"/>
        </w:rPr>
        <w:t>、</w:t>
      </w:r>
      <w:r>
        <w:rPr>
          <w:rFonts w:ascii="仿宋_GB2312" w:hAnsi="仿宋_GB2312" w:eastAsia="仿宋_GB2312" w:cs="仿宋_GB2312"/>
          <w:i w:val="0"/>
          <w:iCs w:val="0"/>
          <w:caps w:val="0"/>
          <w:smallCaps w:val="0"/>
          <w:color w:val="auto"/>
          <w:spacing w:val="0"/>
          <w:sz w:val="32"/>
          <w:szCs w:val="32"/>
          <w:highlight w:val="none"/>
          <w:shd w:val="clear" w:fill="FFFFFF"/>
        </w:rPr>
        <w:t>渔业生产</w:t>
      </w:r>
      <w:r>
        <w:rPr>
          <w:rFonts w:ascii="仿宋_GB2312" w:hAnsi="仿宋_GB2312" w:eastAsia="仿宋_GB2312" w:cs="仿宋_GB2312"/>
          <w:color w:val="auto"/>
          <w:sz w:val="32"/>
          <w:szCs w:val="32"/>
          <w:highlight w:val="none"/>
        </w:rPr>
        <w:t>等高危行业、领域生产经营活动的单位（以下简称高危行业、领域单位），</w:t>
      </w:r>
      <w:r>
        <w:rPr>
          <w:rFonts w:ascii="仿宋_GB2312" w:hAnsi="仿宋_GB2312" w:eastAsia="仿宋_GB2312" w:cs="仿宋_GB2312"/>
          <w:color w:val="auto"/>
          <w:sz w:val="32"/>
          <w:szCs w:val="32"/>
          <w:highlight w:val="none"/>
          <w:u w:val="none"/>
          <w:lang w:val="en-US" w:eastAsia="zh-CN"/>
        </w:rPr>
        <w:t>依法强制</w:t>
      </w:r>
      <w:r>
        <w:rPr>
          <w:rFonts w:ascii="仿宋_GB2312" w:hAnsi="仿宋_GB2312" w:eastAsia="仿宋_GB2312" w:cs="仿宋_GB2312"/>
          <w:color w:val="auto"/>
          <w:sz w:val="32"/>
          <w:szCs w:val="32"/>
          <w:highlight w:val="none"/>
        </w:rPr>
        <w:t>投保安责险</w:t>
      </w:r>
      <w:r>
        <w:rPr>
          <w:rFonts w:ascii="仿宋_GB2312" w:hAnsi="仿宋_GB2312" w:eastAsia="仿宋_GB2312" w:cs="仿宋_GB2312"/>
          <w:color w:val="auto"/>
          <w:sz w:val="32"/>
          <w:szCs w:val="32"/>
          <w:highlight w:val="none"/>
          <w:u w:val="none"/>
          <w:lang w:eastAsia="zh-CN"/>
        </w:rPr>
        <w:t>，</w:t>
      </w:r>
      <w:r>
        <w:rPr>
          <w:rFonts w:ascii="仿宋_GB2312" w:hAnsi="仿宋_GB2312" w:eastAsia="仿宋_GB2312" w:cs="仿宋_GB2312"/>
          <w:color w:val="auto"/>
          <w:sz w:val="32"/>
          <w:szCs w:val="32"/>
          <w:highlight w:val="none"/>
          <w:u w:val="none"/>
          <w:lang w:val="en-US" w:eastAsia="zh-CN"/>
        </w:rPr>
        <w:t>做到应保尽保</w:t>
      </w:r>
      <w:r>
        <w:rPr>
          <w:rFonts w:ascii="仿宋_GB2312" w:hAnsi="仿宋_GB2312" w:eastAsia="仿宋_GB2312" w:cs="仿宋_GB2312"/>
          <w:color w:val="auto"/>
          <w:sz w:val="32"/>
          <w:szCs w:val="32"/>
          <w:highlight w:val="none"/>
          <w:u w:val="none"/>
        </w:rPr>
        <w:t>。</w:t>
      </w:r>
      <w:r>
        <w:rPr>
          <w:rFonts w:ascii="仿宋_GB2312" w:hAnsi="仿宋_GB2312" w:eastAsia="仿宋_GB2312" w:cs="仿宋_GB2312"/>
          <w:color w:val="auto"/>
          <w:sz w:val="32"/>
          <w:szCs w:val="32"/>
          <w:highlight w:val="none"/>
          <w:u w:val="none"/>
          <w:lang w:eastAsia="zh-CN"/>
        </w:rPr>
        <w:t>鼓励</w:t>
      </w:r>
      <w:r>
        <w:rPr>
          <w:rFonts w:ascii="仿宋_GB2312" w:hAnsi="仿宋_GB2312" w:eastAsia="仿宋_GB2312" w:cs="仿宋_GB2312"/>
          <w:color w:val="auto"/>
          <w:sz w:val="32"/>
          <w:szCs w:val="32"/>
          <w:highlight w:val="none"/>
        </w:rPr>
        <w:t>在建材、轻工、批发和零售、住宿、餐饮、瓶装液化石油气经营、大型群众性活动、人员密集场所以及涉及城市水、电、气、热等行业、领域</w:t>
      </w:r>
      <w:r>
        <w:rPr>
          <w:rFonts w:ascii="仿宋_GB2312" w:hAnsi="仿宋_GB2312" w:eastAsia="仿宋_GB2312" w:cs="仿宋_GB2312"/>
          <w:color w:val="auto"/>
          <w:sz w:val="32"/>
          <w:szCs w:val="32"/>
          <w:highlight w:val="none"/>
          <w:lang w:eastAsia="zh-CN"/>
        </w:rPr>
        <w:t>投保安责险</w:t>
      </w:r>
      <w:r>
        <w:rPr>
          <w:rFonts w:ascii="仿宋_GB2312" w:hAnsi="仿宋_GB2312" w:eastAsia="仿宋_GB2312" w:cs="仿宋_GB2312"/>
          <w:color w:val="auto"/>
          <w:sz w:val="32"/>
          <w:szCs w:val="32"/>
          <w:highlight w:val="none"/>
        </w:rPr>
        <w:t>。</w:t>
      </w:r>
    </w:p>
    <w:p w14:paraId="422B8DFF">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strike w:val="0"/>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本细则</w:t>
      </w:r>
      <w:r>
        <w:rPr>
          <w:rFonts w:ascii="仿宋_GB2312" w:hAnsi="仿宋_GB2312" w:eastAsia="仿宋_GB2312" w:cs="仿宋_GB2312"/>
          <w:color w:val="auto"/>
          <w:sz w:val="32"/>
          <w:szCs w:val="32"/>
          <w:highlight w:val="none"/>
        </w:rPr>
        <w:t>适用于高危行业、领域单位安责险的投保与承保、事故预防服务、理赔、监督与管理，其他行业、领域参照执行。</w:t>
      </w:r>
    </w:p>
    <w:p w14:paraId="27015B40">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lang w:val="en-US" w:eastAsia="zh-CN"/>
        </w:rPr>
      </w:pPr>
      <w:r>
        <w:rPr>
          <w:rFonts w:ascii="仿宋_GB2312" w:hAnsi="仿宋_GB2312" w:eastAsia="仿宋_GB2312" w:cs="仿宋_GB2312"/>
          <w:color w:val="auto"/>
          <w:sz w:val="32"/>
          <w:szCs w:val="32"/>
          <w:highlight w:val="none"/>
        </w:rPr>
        <w:t>保险机构为被保险人承保安责险，应当按照相关规定和合同约定，做好保险承保理赔和事故预防服务，依法承担保险赔偿责任，</w:t>
      </w:r>
      <w:r>
        <w:rPr>
          <w:rFonts w:ascii="仿宋_GB2312" w:hAnsi="仿宋_GB2312" w:eastAsia="仿宋_GB2312" w:cs="仿宋_GB2312"/>
          <w:color w:val="auto"/>
          <w:sz w:val="32"/>
          <w:szCs w:val="32"/>
          <w:highlight w:val="none"/>
          <w:lang w:val="en-US" w:eastAsia="zh-CN"/>
        </w:rPr>
        <w:t>实现“保费低、服务质量高、责任范围广”的目标。</w:t>
      </w:r>
    </w:p>
    <w:p w14:paraId="58D90A58">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保险机构应</w:t>
      </w:r>
      <w:r>
        <w:rPr>
          <w:rFonts w:hint="eastAsia" w:ascii="仿宋_GB2312" w:hAnsi="仿宋_GB2312" w:eastAsia="仿宋_GB2312" w:cs="仿宋_GB2312"/>
          <w:color w:val="auto"/>
          <w:sz w:val="32"/>
          <w:szCs w:val="32"/>
          <w:highlight w:val="none"/>
        </w:rPr>
        <w:t>结合</w:t>
      </w: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各行业风险特征科学设计保险方案，规范安责险和</w:t>
      </w:r>
      <w:r>
        <w:rPr>
          <w:rFonts w:ascii="仿宋_GB2312" w:hAnsi="仿宋_GB2312" w:eastAsia="仿宋_GB2312" w:cs="仿宋_GB2312"/>
          <w:color w:val="auto"/>
          <w:sz w:val="32"/>
          <w:szCs w:val="32"/>
          <w:highlight w:val="none"/>
        </w:rPr>
        <w:t>道路运输承运人责任险等相关险种</w:t>
      </w:r>
      <w:r>
        <w:rPr>
          <w:rFonts w:hint="eastAsia" w:ascii="仿宋_GB2312" w:hAnsi="仿宋_GB2312" w:eastAsia="仿宋_GB2312" w:cs="仿宋_GB2312"/>
          <w:color w:val="auto"/>
          <w:sz w:val="32"/>
          <w:szCs w:val="32"/>
          <w:highlight w:val="none"/>
        </w:rPr>
        <w:t>的衔接</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明确各险种保障范围和赔偿限额，</w:t>
      </w:r>
      <w:r>
        <w:rPr>
          <w:rFonts w:ascii="仿宋_GB2312" w:hAnsi="仿宋_GB2312" w:eastAsia="仿宋_GB2312" w:cs="仿宋_GB2312"/>
          <w:color w:val="auto"/>
          <w:sz w:val="32"/>
          <w:szCs w:val="32"/>
          <w:highlight w:val="none"/>
        </w:rPr>
        <w:t>避免重复投保</w:t>
      </w:r>
      <w:r>
        <w:rPr>
          <w:rFonts w:hint="eastAsia" w:ascii="仿宋_GB2312" w:hAnsi="仿宋_GB2312" w:eastAsia="仿宋_GB2312" w:cs="仿宋_GB2312"/>
          <w:color w:val="auto"/>
          <w:sz w:val="32"/>
          <w:szCs w:val="32"/>
          <w:highlight w:val="none"/>
        </w:rPr>
        <w:t>或保障缺位</w:t>
      </w:r>
      <w:r>
        <w:rPr>
          <w:rFonts w:ascii="仿宋_GB2312" w:hAnsi="仿宋_GB2312" w:eastAsia="仿宋_GB2312" w:cs="仿宋_GB2312"/>
          <w:color w:val="auto"/>
          <w:sz w:val="32"/>
          <w:szCs w:val="32"/>
          <w:highlight w:val="none"/>
        </w:rPr>
        <w:t>。</w:t>
      </w:r>
    </w:p>
    <w:p w14:paraId="7F4CD980">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自治区应急管理</w:t>
      </w:r>
      <w:r>
        <w:rPr>
          <w:rFonts w:hint="default" w:ascii="仿宋_GB2312" w:hAnsi="仿宋_GB2312" w:eastAsia="仿宋_GB2312" w:cs="仿宋_GB2312"/>
          <w:color w:val="auto"/>
          <w:sz w:val="32"/>
          <w:szCs w:val="32"/>
          <w:highlight w:val="none"/>
          <w:lang w:val="en-US"/>
        </w:rPr>
        <w:t>厅</w:t>
      </w:r>
      <w:r>
        <w:rPr>
          <w:rFonts w:ascii="仿宋_GB2312" w:hAnsi="仿宋_GB2312" w:eastAsia="仿宋_GB2312" w:cs="仿宋_GB2312"/>
          <w:color w:val="auto"/>
          <w:sz w:val="32"/>
          <w:szCs w:val="32"/>
          <w:highlight w:val="none"/>
        </w:rPr>
        <w:t>负责综合协调、统筹推动各高危行业、领域单位安责险实施工作，对</w:t>
      </w:r>
      <w:r>
        <w:rPr>
          <w:rFonts w:hint="eastAsia" w:ascii="仿宋_GB2312" w:hAnsi="仿宋_GB2312" w:eastAsia="仿宋_GB2312" w:cs="仿宋_GB2312"/>
          <w:color w:val="auto"/>
          <w:sz w:val="32"/>
          <w:szCs w:val="32"/>
          <w:highlight w:val="none"/>
        </w:rPr>
        <w:t>矿山、危险化学品、烟花爆竹、金属冶炼</w:t>
      </w:r>
      <w:r>
        <w:rPr>
          <w:rFonts w:ascii="仿宋_GB2312" w:hAnsi="仿宋_GB2312" w:eastAsia="仿宋_GB2312" w:cs="仿宋_GB2312"/>
          <w:color w:val="auto"/>
          <w:sz w:val="32"/>
          <w:szCs w:val="32"/>
          <w:highlight w:val="none"/>
        </w:rPr>
        <w:t>行业、领域单位安责险投保情况等实施监督管理</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与自治区财政</w:t>
      </w:r>
      <w:r>
        <w:rPr>
          <w:rFonts w:hint="default" w:ascii="仿宋_GB2312" w:hAnsi="仿宋_GB2312" w:eastAsia="仿宋_GB2312" w:cs="仿宋_GB2312"/>
          <w:color w:val="auto"/>
          <w:sz w:val="32"/>
          <w:szCs w:val="32"/>
          <w:highlight w:val="none"/>
          <w:lang w:val="en-US"/>
        </w:rPr>
        <w:t>厅</w:t>
      </w:r>
      <w:r>
        <w:rPr>
          <w:rFonts w:ascii="仿宋_GB2312" w:hAnsi="仿宋_GB2312" w:eastAsia="仿宋_GB2312" w:cs="仿宋_GB2312"/>
          <w:color w:val="auto"/>
          <w:sz w:val="32"/>
          <w:szCs w:val="32"/>
          <w:highlight w:val="none"/>
        </w:rPr>
        <w:t>和</w:t>
      </w:r>
      <w:r>
        <w:rPr>
          <w:rFonts w:hint="eastAsia" w:ascii="仿宋_GB2312" w:hAnsi="仿宋_GB2312" w:eastAsia="仿宋_GB2312" w:cs="仿宋_GB2312"/>
          <w:color w:val="auto"/>
          <w:sz w:val="32"/>
          <w:szCs w:val="32"/>
          <w:highlight w:val="none"/>
        </w:rPr>
        <w:t>国家金融监督管理总局</w:t>
      </w:r>
      <w:r>
        <w:rPr>
          <w:rFonts w:hint="eastAsia" w:ascii="仿宋_GB2312" w:hAnsi="仿宋_GB2312" w:eastAsia="仿宋_GB2312" w:cs="仿宋_GB2312"/>
          <w:color w:val="auto"/>
          <w:sz w:val="32"/>
          <w:szCs w:val="32"/>
          <w:highlight w:val="none"/>
          <w:lang w:eastAsia="zh-CN"/>
        </w:rPr>
        <w:t>新疆</w:t>
      </w:r>
      <w:r>
        <w:rPr>
          <w:rFonts w:hint="eastAsia" w:ascii="仿宋_GB2312" w:hAnsi="仿宋_GB2312" w:eastAsia="仿宋_GB2312" w:cs="仿宋_GB2312"/>
          <w:color w:val="auto"/>
          <w:sz w:val="32"/>
          <w:szCs w:val="32"/>
          <w:highlight w:val="none"/>
        </w:rPr>
        <w:t>监管局</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w:t>
      </w:r>
      <w:r>
        <w:rPr>
          <w:rFonts w:ascii="仿宋_GB2312" w:hAnsi="仿宋_GB2312" w:eastAsia="仿宋_GB2312" w:cs="仿宋_GB2312"/>
          <w:color w:val="auto"/>
          <w:sz w:val="32"/>
          <w:szCs w:val="32"/>
          <w:highlight w:val="none"/>
        </w:rPr>
        <w:t>新疆金融监管</w:t>
      </w:r>
      <w:r>
        <w:rPr>
          <w:rFonts w:hint="default" w:ascii="仿宋_GB2312" w:hAnsi="仿宋_GB2312" w:eastAsia="仿宋_GB2312" w:cs="仿宋_GB2312"/>
          <w:color w:val="auto"/>
          <w:sz w:val="32"/>
          <w:szCs w:val="32"/>
          <w:highlight w:val="none"/>
          <w:lang w:val="en-US"/>
        </w:rPr>
        <w:t>局</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、自治区负有安全生产监督管理职责的相关行业主管部门（以下简称相关行业主管部门）建立联合工作机制，</w:t>
      </w:r>
      <w:r>
        <w:rPr>
          <w:rFonts w:hint="eastAsia" w:ascii="仿宋_GB2312" w:hAnsi="仿宋_GB2312" w:eastAsia="仿宋_GB2312" w:cs="仿宋_GB2312"/>
          <w:sz w:val="32"/>
          <w:szCs w:val="32"/>
        </w:rPr>
        <w:t>贯彻落实国家</w:t>
      </w:r>
      <w:r>
        <w:rPr>
          <w:rFonts w:ascii="仿宋_GB2312" w:hAnsi="仿宋_GB2312" w:eastAsia="仿宋_GB2312" w:cs="仿宋_GB2312"/>
          <w:color w:val="auto"/>
          <w:sz w:val="32"/>
          <w:szCs w:val="32"/>
          <w:highlight w:val="none"/>
        </w:rPr>
        <w:t>标准规范</w:t>
      </w:r>
      <w:r>
        <w:rPr>
          <w:rFonts w:hint="eastAsia" w:ascii="仿宋_GB2312" w:hAnsi="仿宋_GB2312" w:eastAsia="仿宋_GB2312" w:cs="仿宋_GB2312"/>
          <w:sz w:val="32"/>
          <w:szCs w:val="32"/>
        </w:rPr>
        <w:t>和自治区安责险</w:t>
      </w:r>
      <w:r>
        <w:rPr>
          <w:rFonts w:ascii="仿宋_GB2312" w:hAnsi="仿宋_GB2312" w:eastAsia="仿宋_GB2312" w:cs="仿宋_GB2312"/>
          <w:color w:val="auto"/>
          <w:sz w:val="32"/>
          <w:szCs w:val="32"/>
          <w:highlight w:val="none"/>
        </w:rPr>
        <w:t>管理制度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按照全国安责险事故预防服务信息管理系统建设要求，推进</w:t>
      </w:r>
      <w:r>
        <w:rPr>
          <w:rFonts w:hint="eastAsia" w:ascii="仿宋_GB2312" w:hAnsi="仿宋_GB2312" w:eastAsia="仿宋_GB2312" w:cs="仿宋_GB2312"/>
          <w:color w:val="auto"/>
          <w:sz w:val="32"/>
          <w:szCs w:val="32"/>
          <w:highlight w:val="none"/>
          <w:lang w:eastAsia="zh-CN"/>
        </w:rPr>
        <w:t>自治区安责险信息管理系统</w:t>
      </w:r>
      <w:r>
        <w:rPr>
          <w:rFonts w:hint="eastAsia" w:ascii="仿宋_GB2312" w:hAnsi="仿宋_GB2312" w:eastAsia="仿宋_GB2312" w:cs="仿宋_GB2312"/>
          <w:color w:val="auto"/>
          <w:sz w:val="32"/>
          <w:szCs w:val="32"/>
          <w:highlight w:val="none"/>
        </w:rPr>
        <w:t>与国家系统对接、数据交互共享</w:t>
      </w:r>
      <w:r>
        <w:rPr>
          <w:rFonts w:ascii="仿宋_GB2312" w:hAnsi="仿宋_GB2312" w:eastAsia="仿宋_GB2312" w:cs="仿宋_GB2312"/>
          <w:color w:val="auto"/>
          <w:sz w:val="32"/>
          <w:szCs w:val="32"/>
          <w:highlight w:val="none"/>
        </w:rPr>
        <w:t>；会同相关行业主管部门指导监督高危行业、领域单位安责险事故预防服务情况。</w:t>
      </w:r>
    </w:p>
    <w:p w14:paraId="65CD9BBD">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新疆金融监管</w:t>
      </w:r>
      <w:r>
        <w:rPr>
          <w:rFonts w:hint="default" w:ascii="仿宋_GB2312" w:hAnsi="仿宋_GB2312" w:eastAsia="仿宋_GB2312" w:cs="仿宋_GB2312"/>
          <w:color w:val="auto"/>
          <w:sz w:val="32"/>
          <w:szCs w:val="32"/>
          <w:highlight w:val="none"/>
          <w:lang w:val="en-US"/>
        </w:rPr>
        <w:t>局</w:t>
      </w:r>
      <w:r>
        <w:rPr>
          <w:rFonts w:ascii="仿宋_GB2312" w:hAnsi="仿宋_GB2312" w:eastAsia="仿宋_GB2312" w:cs="仿宋_GB2312"/>
          <w:color w:val="auto"/>
          <w:sz w:val="32"/>
          <w:szCs w:val="32"/>
          <w:highlight w:val="none"/>
        </w:rPr>
        <w:t>负责依法对开展安责险的保险机构及其实施的承保、理赔和事故预防服务支出等有关业务活动实施监督管理。</w:t>
      </w:r>
    </w:p>
    <w:p w14:paraId="1E1C8622">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自治区相关行业主管部门</w:t>
      </w:r>
      <w:r>
        <w:rPr>
          <w:rFonts w:hint="eastAsia" w:ascii="仿宋_GB2312" w:hAnsi="仿宋_GB2312" w:eastAsia="仿宋_GB2312" w:cs="仿宋_GB2312"/>
          <w:color w:val="auto"/>
          <w:sz w:val="32"/>
          <w:szCs w:val="32"/>
          <w:highlight w:val="none"/>
        </w:rPr>
        <w:t>在各自职责范围内</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依法对本行业、领域单位安责险投保情况等实施监督管理。</w:t>
      </w:r>
    </w:p>
    <w:p w14:paraId="60F62AC7">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各级应急管理部门、相关行业主管部门及金融监管</w:t>
      </w:r>
      <w:r>
        <w:rPr>
          <w:rFonts w:hint="eastAsia" w:ascii="仿宋_GB2312" w:hAnsi="仿宋_GB2312" w:eastAsia="仿宋_GB2312" w:cs="仿宋_GB2312"/>
          <w:color w:val="auto"/>
          <w:sz w:val="32"/>
          <w:szCs w:val="32"/>
          <w:highlight w:val="none"/>
          <w:lang w:val="en-US" w:eastAsia="zh-CN"/>
        </w:rPr>
        <w:t>部门</w:t>
      </w:r>
      <w:r>
        <w:rPr>
          <w:rFonts w:ascii="仿宋_GB2312" w:hAnsi="仿宋_GB2312" w:eastAsia="仿宋_GB2312" w:cs="仿宋_GB2312"/>
          <w:color w:val="auto"/>
          <w:sz w:val="32"/>
          <w:szCs w:val="32"/>
          <w:highlight w:val="none"/>
        </w:rPr>
        <w:t>按照前款对应的职责开展相关工作。</w:t>
      </w:r>
    </w:p>
    <w:p w14:paraId="3FE4C126">
      <w:pPr>
        <w:keepNext/>
        <w:keepLines/>
        <w:widowControl w:val="0"/>
        <w:bidi w:val="0"/>
        <w:spacing w:before="50" w:beforeLines="50" w:after="50" w:afterLines="50" w:line="560" w:lineRule="exact"/>
        <w:ind w:firstLine="0" w:firstLineChars="0"/>
        <w:jc w:val="center"/>
        <w:outlineLvl w:val="1"/>
        <w:rPr>
          <w:rFonts w:ascii="Arial" w:hAnsi="Arial" w:eastAsia="黑体" w:cs="Times New Roman"/>
          <w:bCs/>
          <w:kern w:val="2"/>
          <w:sz w:val="32"/>
          <w:szCs w:val="32"/>
          <w:highlight w:val="none"/>
          <w:lang w:val="en-US" w:eastAsia="zh-CN" w:bidi="ar-SA"/>
        </w:rPr>
      </w:pPr>
      <w:r>
        <w:rPr>
          <w:rFonts w:ascii="Arial" w:hAnsi="Arial" w:eastAsia="黑体" w:cs="Times New Roman"/>
          <w:bCs/>
          <w:kern w:val="2"/>
          <w:sz w:val="32"/>
          <w:szCs w:val="32"/>
          <w:highlight w:val="none"/>
          <w:lang w:val="en-US" w:eastAsia="zh-CN" w:bidi="ar-SA"/>
        </w:rPr>
        <w:t>第二章 投保与承保</w:t>
      </w:r>
    </w:p>
    <w:p w14:paraId="093D5C8E">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生产经营单位应当自主选择符合条件的保险机构足额投保安责险</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不得虚报、漏报投保人员</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保险机构应向</w:t>
      </w:r>
      <w:r>
        <w:rPr>
          <w:rFonts w:hint="eastAsia" w:ascii="仿宋_GB2312" w:hAnsi="仿宋_GB2312" w:eastAsia="仿宋_GB2312" w:cs="仿宋_GB2312"/>
          <w:color w:val="auto"/>
          <w:sz w:val="32"/>
          <w:szCs w:val="32"/>
          <w:highlight w:val="none"/>
          <w:lang w:val="en-US" w:eastAsia="zh-CN"/>
        </w:rPr>
        <w:t>被保险</w:t>
      </w:r>
      <w:r>
        <w:rPr>
          <w:rFonts w:ascii="仿宋_GB2312" w:hAnsi="仿宋_GB2312" w:eastAsia="仿宋_GB2312" w:cs="仿宋_GB2312"/>
          <w:color w:val="auto"/>
          <w:sz w:val="32"/>
          <w:szCs w:val="32"/>
          <w:highlight w:val="none"/>
        </w:rPr>
        <w:t>人明确说明投保范围、保险责任、责任免除</w:t>
      </w:r>
      <w:r>
        <w:rPr>
          <w:rFonts w:hint="eastAsia" w:ascii="仿宋_GB2312" w:hAnsi="仿宋_GB2312" w:eastAsia="仿宋_GB2312" w:cs="仿宋_GB2312"/>
          <w:color w:val="auto"/>
          <w:sz w:val="32"/>
          <w:szCs w:val="32"/>
          <w:highlight w:val="none"/>
          <w:lang w:val="en-US" w:eastAsia="zh-CN"/>
        </w:rPr>
        <w:t>以及</w:t>
      </w:r>
      <w:r>
        <w:rPr>
          <w:rFonts w:ascii="仿宋_GB2312" w:hAnsi="仿宋_GB2312" w:eastAsia="仿宋_GB2312" w:cs="仿宋_GB2312"/>
          <w:color w:val="auto"/>
          <w:sz w:val="32"/>
          <w:szCs w:val="32"/>
          <w:highlight w:val="none"/>
        </w:rPr>
        <w:t>事故预防</w:t>
      </w:r>
      <w:r>
        <w:rPr>
          <w:rFonts w:hint="eastAsia" w:ascii="仿宋_GB2312" w:hAnsi="仿宋_GB2312" w:eastAsia="仿宋_GB2312" w:cs="仿宋_GB2312"/>
          <w:color w:val="auto"/>
          <w:sz w:val="32"/>
          <w:szCs w:val="32"/>
          <w:highlight w:val="none"/>
          <w:lang w:val="en-US" w:eastAsia="zh-CN"/>
        </w:rPr>
        <w:t>服务</w:t>
      </w:r>
      <w:r>
        <w:rPr>
          <w:rFonts w:ascii="仿宋_GB2312" w:hAnsi="仿宋_GB2312" w:eastAsia="仿宋_GB2312" w:cs="仿宋_GB2312"/>
          <w:color w:val="auto"/>
          <w:sz w:val="32"/>
          <w:szCs w:val="32"/>
          <w:highlight w:val="none"/>
        </w:rPr>
        <w:t>不需被保险人额外支付费用等内容</w:t>
      </w:r>
      <w:r>
        <w:rPr>
          <w:rFonts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保险金额实行同一标准，不得因用工方式、工作岗位等差别对待。</w:t>
      </w:r>
    </w:p>
    <w:p w14:paraId="4A424F9B">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生产经营单位</w:t>
      </w:r>
      <w:r>
        <w:rPr>
          <w:rFonts w:ascii="仿宋_GB2312" w:hAnsi="仿宋_GB2312" w:eastAsia="仿宋_GB2312" w:cs="仿宋_GB2312"/>
          <w:color w:val="auto"/>
          <w:sz w:val="32"/>
          <w:szCs w:val="32"/>
          <w:highlight w:val="none"/>
        </w:rPr>
        <w:t>投保时</w:t>
      </w:r>
      <w:r>
        <w:rPr>
          <w:rFonts w:hint="eastAsia" w:ascii="仿宋_GB2312" w:hAnsi="仿宋_GB2312" w:eastAsia="仿宋_GB2312" w:cs="仿宋_GB2312"/>
          <w:sz w:val="32"/>
          <w:szCs w:val="32"/>
        </w:rPr>
        <w:t>应当</w:t>
      </w:r>
      <w:r>
        <w:rPr>
          <w:rFonts w:ascii="仿宋_GB2312" w:hAnsi="仿宋_GB2312" w:eastAsia="仿宋_GB2312" w:cs="仿宋_GB2312"/>
          <w:color w:val="auto"/>
          <w:sz w:val="32"/>
          <w:szCs w:val="32"/>
          <w:highlight w:val="none"/>
        </w:rPr>
        <w:t>注册登录</w:t>
      </w:r>
      <w:r>
        <w:rPr>
          <w:rFonts w:hint="eastAsia" w:ascii="仿宋_GB2312" w:hAnsi="仿宋_GB2312" w:eastAsia="仿宋_GB2312" w:cs="仿宋_GB2312"/>
          <w:color w:val="auto"/>
          <w:sz w:val="32"/>
          <w:szCs w:val="32"/>
          <w:highlight w:val="none"/>
          <w:lang w:eastAsia="zh-CN"/>
        </w:rPr>
        <w:t>自治区安责险信息管理系统</w:t>
      </w:r>
      <w:r>
        <w:rPr>
          <w:rFonts w:ascii="仿宋_GB2312" w:hAnsi="仿宋_GB2312" w:eastAsia="仿宋_GB2312" w:cs="仿宋_GB2312"/>
          <w:color w:val="auto"/>
          <w:sz w:val="32"/>
          <w:szCs w:val="32"/>
          <w:highlight w:val="none"/>
        </w:rPr>
        <w:t>，会同保险机构同步录入安责险相关信息</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并</w:t>
      </w:r>
      <w:r>
        <w:rPr>
          <w:rFonts w:ascii="仿宋_GB2312" w:hAnsi="仿宋_GB2312" w:eastAsia="仿宋_GB2312" w:cs="仿宋_GB2312"/>
          <w:color w:val="auto"/>
          <w:sz w:val="32"/>
          <w:szCs w:val="32"/>
          <w:highlight w:val="none"/>
        </w:rPr>
        <w:t>与保险公司签订安责险合同。</w:t>
      </w:r>
    </w:p>
    <w:p w14:paraId="3914757E">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安责险的承保期限一般为一个年度，或与相关安全生产行政许可期限保持一致，季节性生产经营单位和建设工程等特殊情况可根据生产经营建设周期约定承保期限。行业主管部门另有规定的，从其</w:t>
      </w:r>
      <w:r>
        <w:rPr>
          <w:rFonts w:hint="eastAsia" w:ascii="仿宋_GB2312" w:hAnsi="仿宋_GB2312" w:eastAsia="仿宋_GB2312" w:cs="仿宋_GB2312"/>
          <w:color w:val="auto"/>
          <w:sz w:val="32"/>
          <w:szCs w:val="32"/>
          <w:highlight w:val="none"/>
          <w:lang w:eastAsia="zh-CN"/>
        </w:rPr>
        <w:t>规定</w:t>
      </w:r>
      <w:r>
        <w:rPr>
          <w:rFonts w:hint="eastAsia" w:ascii="仿宋_GB2312" w:hAnsi="仿宋_GB2312" w:eastAsia="仿宋_GB2312" w:cs="仿宋_GB2312"/>
          <w:color w:val="auto"/>
          <w:sz w:val="32"/>
          <w:szCs w:val="32"/>
          <w:highlight w:val="none"/>
        </w:rPr>
        <w:t>。</w:t>
      </w:r>
    </w:p>
    <w:p w14:paraId="7738BF42">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除被依法关闭取缔、解散、完全停止生产经营活动以及宣告破产或者其他法定事由向市场主体登记机关申请注销登记外，应当投保安责险的生产经营单位不得退保、延迟续保。</w:t>
      </w:r>
    </w:p>
    <w:p w14:paraId="32EC9341">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生产经营单位投保时应当向保险公司如实告知</w:t>
      </w:r>
      <w:r>
        <w:rPr>
          <w:rFonts w:hint="eastAsia" w:ascii="仿宋_GB2312" w:hAnsi="仿宋_GB2312" w:eastAsia="仿宋_GB2312" w:cs="仿宋_GB2312"/>
          <w:sz w:val="32"/>
          <w:szCs w:val="32"/>
        </w:rPr>
        <w:t>下列</w:t>
      </w:r>
      <w:r>
        <w:rPr>
          <w:rFonts w:ascii="仿宋_GB2312" w:hAnsi="仿宋_GB2312" w:eastAsia="仿宋_GB2312" w:cs="仿宋_GB2312"/>
          <w:color w:val="auto"/>
          <w:sz w:val="32"/>
          <w:szCs w:val="32"/>
          <w:highlight w:val="none"/>
        </w:rPr>
        <w:t>安全生产重要事项。</w:t>
      </w:r>
    </w:p>
    <w:p w14:paraId="05939998">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（一）单位名称、住所地及统一社会信用代码；</w:t>
      </w:r>
    </w:p>
    <w:p w14:paraId="3336B9A7">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（二）单位法定代表人或者主要负责人的姓名及其安全生产知识和管理能力情况；</w:t>
      </w:r>
    </w:p>
    <w:p w14:paraId="6B39C8B6">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（三）设置安全生产管理机构、配备安全生产管理人员情况；</w:t>
      </w:r>
    </w:p>
    <w:p w14:paraId="239CF6A7">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（四）投保或者续保前一年内发生生产安全事故的情况。</w:t>
      </w:r>
    </w:p>
    <w:p w14:paraId="3E7D03DF">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从业人员、第三者每人死亡伤残责任限额不得低于40万元，</w:t>
      </w: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相关行业主管部门可根据实际情况确定安责险中涉及人员死亡的最低责任限额，并按自治区城镇居民人均可支配收入的变化适时调整。</w:t>
      </w:r>
    </w:p>
    <w:p w14:paraId="5859F34A">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法律、行政法规对生产经营单位的赔偿责任限额另有规定的，从其规定</w:t>
      </w:r>
      <w:r>
        <w:rPr>
          <w:rFonts w:hint="eastAsia" w:ascii="仿宋_GB2312" w:hAnsi="仿宋_GB2312" w:eastAsia="仿宋_GB2312" w:cs="仿宋_GB2312"/>
          <w:color w:val="auto"/>
          <w:sz w:val="32"/>
          <w:szCs w:val="32"/>
          <w:highlight w:val="none"/>
          <w:lang w:val="en-US" w:eastAsia="zh-CN"/>
        </w:rPr>
        <w:t>执行</w:t>
      </w:r>
      <w:r>
        <w:rPr>
          <w:rFonts w:hint="eastAsia" w:ascii="仿宋_GB2312" w:hAnsi="仿宋_GB2312" w:eastAsia="仿宋_GB2312" w:cs="仿宋_GB2312"/>
          <w:color w:val="auto"/>
          <w:sz w:val="32"/>
          <w:szCs w:val="32"/>
          <w:highlight w:val="none"/>
        </w:rPr>
        <w:t>。</w:t>
      </w:r>
    </w:p>
    <w:p w14:paraId="4CF51B7F">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保险机构承保时，应当与</w:t>
      </w:r>
      <w:r>
        <w:rPr>
          <w:rFonts w:hint="eastAsia" w:ascii="仿宋_GB2312" w:hAnsi="仿宋_GB2312" w:eastAsia="仿宋_GB2312" w:cs="仿宋_GB2312"/>
          <w:color w:val="auto"/>
          <w:sz w:val="32"/>
          <w:szCs w:val="32"/>
          <w:highlight w:val="none"/>
          <w:lang w:val="en-US" w:eastAsia="zh-CN"/>
        </w:rPr>
        <w:t>投保单位</w:t>
      </w:r>
      <w:r>
        <w:rPr>
          <w:rFonts w:hint="eastAsia" w:ascii="仿宋_GB2312" w:hAnsi="仿宋_GB2312" w:eastAsia="仿宋_GB2312" w:cs="仿宋_GB2312"/>
          <w:color w:val="auto"/>
          <w:sz w:val="32"/>
          <w:szCs w:val="32"/>
          <w:highlight w:val="none"/>
        </w:rPr>
        <w:t>充分沟通，明确各</w:t>
      </w:r>
      <w:r>
        <w:rPr>
          <w:rFonts w:hint="eastAsia" w:ascii="仿宋_GB2312" w:hAnsi="仿宋_GB2312" w:eastAsia="仿宋_GB2312" w:cs="仿宋_GB2312"/>
          <w:color w:val="auto"/>
          <w:sz w:val="32"/>
          <w:szCs w:val="32"/>
          <w:highlight w:val="none"/>
          <w:lang w:val="en-US" w:eastAsia="zh-CN"/>
        </w:rPr>
        <w:t>被保险人</w:t>
      </w:r>
      <w:r>
        <w:rPr>
          <w:rFonts w:hint="eastAsia" w:ascii="仿宋_GB2312" w:hAnsi="仿宋_GB2312" w:eastAsia="仿宋_GB2312" w:cs="仿宋_GB2312"/>
          <w:color w:val="auto"/>
          <w:sz w:val="32"/>
          <w:szCs w:val="32"/>
          <w:highlight w:val="none"/>
        </w:rPr>
        <w:t>的行业属性及风险特征。集团公司（总公司）为其下属分公司统一投保安责险的，应当如实向保险机构提供各分公司的名称、统一社会信用代码、行业领域及细分类别等信息；保险机构应当将每一家具有独立统一社会信用代码的分公司分别列为被保险人，在保险单中逐一列明其名称、统一社会信用代码、行业领域及细分类别，不得仅以集团公司（总公司）作为唯一被保险人出具保单。</w:t>
      </w:r>
    </w:p>
    <w:p w14:paraId="7CC9F042">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保险机构应当根据被保险人的事故记录和等级、安全生产标准化建设情况、安全生产违法失信行为、配合整改事故隐患情况等因素实行浮动费率，对安全生产水平持续提升的被保险人依法依规下浮费率；投保单位对费率厘定有异议的，可以向保险机构、保险行业组织反映。</w:t>
      </w:r>
    </w:p>
    <w:p w14:paraId="10A92F20">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保险机构严禁通过事故预防服务费、咨询费等形式违规支付佣金。保险机构不得为谋取交易机会或竞争优势，盲目抬高佣金比例，或承诺返还佣金，或以其他任何形式实施商业贿赂、虚假宣传等扰乱市场秩序行为。</w:t>
      </w:r>
    </w:p>
    <w:p w14:paraId="74E997FE">
      <w:pPr>
        <w:keepNext/>
        <w:keepLines/>
        <w:widowControl w:val="0"/>
        <w:bidi w:val="0"/>
        <w:spacing w:before="50" w:beforeLines="50" w:after="50" w:afterLines="50" w:line="560" w:lineRule="exact"/>
        <w:ind w:firstLine="0" w:firstLineChars="0"/>
        <w:jc w:val="center"/>
        <w:outlineLvl w:val="1"/>
        <w:rPr>
          <w:rFonts w:ascii="Arial" w:hAnsi="Arial" w:eastAsia="黑体" w:cs="Times New Roman"/>
          <w:bCs/>
          <w:kern w:val="2"/>
          <w:sz w:val="32"/>
          <w:szCs w:val="32"/>
          <w:highlight w:val="none"/>
          <w:lang w:val="en-US" w:eastAsia="zh-CN" w:bidi="ar-SA"/>
        </w:rPr>
      </w:pPr>
      <w:r>
        <w:rPr>
          <w:rFonts w:ascii="Arial" w:hAnsi="Arial" w:eastAsia="黑体" w:cs="Times New Roman"/>
          <w:bCs/>
          <w:kern w:val="2"/>
          <w:sz w:val="32"/>
          <w:szCs w:val="32"/>
          <w:highlight w:val="none"/>
          <w:lang w:val="en-US" w:eastAsia="zh-CN" w:bidi="ar-SA"/>
        </w:rPr>
        <w:t>第三章 事故预防服务</w:t>
      </w:r>
    </w:p>
    <w:p w14:paraId="7BD8904B">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各级应急管理部门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保险公司、安全生产技术服务机构要</w:t>
      </w:r>
      <w:r>
        <w:rPr>
          <w:rFonts w:ascii="仿宋_GB2312" w:hAnsi="仿宋_GB2312" w:eastAsia="仿宋_GB2312" w:cs="仿宋_GB2312"/>
          <w:color w:val="auto"/>
          <w:sz w:val="32"/>
          <w:szCs w:val="32"/>
          <w:highlight w:val="none"/>
        </w:rPr>
        <w:t>严格落实国家金属冶炼</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危化、矿山、烟花爆竹</w:t>
      </w:r>
      <w:r>
        <w:rPr>
          <w:rFonts w:hint="eastAsia" w:ascii="仿宋_GB2312" w:hAnsi="仿宋_GB2312" w:eastAsia="仿宋_GB2312" w:cs="仿宋_GB2312"/>
          <w:color w:val="auto"/>
          <w:sz w:val="32"/>
          <w:szCs w:val="32"/>
          <w:highlight w:val="none"/>
          <w:lang w:val="en-US" w:eastAsia="zh-CN"/>
        </w:rPr>
        <w:t>行业、领域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安全生产责任保险</w:t>
      </w:r>
      <w:r>
        <w:rPr>
          <w:rFonts w:ascii="仿宋_GB2312" w:hAnsi="仿宋_GB2312" w:eastAsia="仿宋_GB2312" w:cs="仿宋_GB2312"/>
          <w:color w:val="auto"/>
          <w:sz w:val="32"/>
          <w:szCs w:val="32"/>
          <w:highlight w:val="none"/>
        </w:rPr>
        <w:t>事故预防服务</w:t>
      </w:r>
      <w:r>
        <w:rPr>
          <w:rFonts w:hint="eastAsia" w:ascii="仿宋_GB2312" w:hAnsi="仿宋_GB2312" w:eastAsia="仿宋_GB2312" w:cs="仿宋_GB2312"/>
          <w:color w:val="auto"/>
          <w:sz w:val="32"/>
          <w:szCs w:val="32"/>
          <w:highlight w:val="none"/>
          <w:lang w:val="en-US" w:eastAsia="zh-CN"/>
        </w:rPr>
        <w:t>规范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所有部分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行业</w:t>
      </w:r>
      <w:r>
        <w:rPr>
          <w:rFonts w:ascii="仿宋_GB2312" w:hAnsi="仿宋_GB2312" w:eastAsia="仿宋_GB2312" w:cs="仿宋_GB2312"/>
          <w:color w:val="auto"/>
          <w:sz w:val="32"/>
          <w:szCs w:val="32"/>
          <w:highlight w:val="none"/>
        </w:rPr>
        <w:t>标准，</w:t>
      </w:r>
      <w:r>
        <w:rPr>
          <w:rFonts w:hint="eastAsia" w:ascii="仿宋_GB2312" w:hAnsi="仿宋_GB2312" w:eastAsia="仿宋_GB2312" w:cs="仿宋_GB2312"/>
          <w:color w:val="auto"/>
          <w:sz w:val="32"/>
          <w:szCs w:val="32"/>
          <w:highlight w:val="none"/>
          <w:lang w:val="en-US" w:eastAsia="zh-CN"/>
        </w:rPr>
        <w:t>确保安责险事故预防服务高质量开展。</w:t>
      </w:r>
    </w:p>
    <w:p w14:paraId="21A6EA0E">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自治区应急管理厅可以会同自治区相关行业主管部门、新疆金融监管局，根据</w:t>
      </w: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各行业、领域单位特点和被保险人实际，制定事故预防服务的细则或标准，规范</w:t>
      </w:r>
      <w:r>
        <w:rPr>
          <w:rFonts w:hint="eastAsia" w:ascii="仿宋_GB2312" w:hAnsi="仿宋_GB2312" w:eastAsia="仿宋_GB2312" w:cs="仿宋_GB2312"/>
          <w:color w:val="auto"/>
          <w:sz w:val="32"/>
          <w:szCs w:val="32"/>
          <w:highlight w:val="none"/>
          <w:lang w:val="en-US" w:eastAsia="zh-CN"/>
        </w:rPr>
        <w:t>事故预防</w:t>
      </w:r>
      <w:r>
        <w:rPr>
          <w:rFonts w:hint="eastAsia" w:ascii="仿宋_GB2312" w:hAnsi="仿宋_GB2312" w:eastAsia="仿宋_GB2312" w:cs="仿宋_GB2312"/>
          <w:color w:val="auto"/>
          <w:sz w:val="32"/>
          <w:szCs w:val="32"/>
          <w:highlight w:val="none"/>
        </w:rPr>
        <w:t>服务行为，提高服务质量。</w:t>
      </w:r>
    </w:p>
    <w:p w14:paraId="397BAFDB">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自治区应急管理厅和自治区相关部门负责对全区范围内事故预防服务的监督指导</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各</w:t>
      </w:r>
      <w:r>
        <w:rPr>
          <w:rFonts w:hint="eastAsia" w:ascii="仿宋_GB2312" w:hAnsi="仿宋_GB2312" w:eastAsia="仿宋_GB2312" w:cs="仿宋_GB2312"/>
          <w:color w:val="auto"/>
          <w:sz w:val="32"/>
          <w:szCs w:val="32"/>
          <w:highlight w:val="none"/>
          <w:lang w:val="en-US" w:eastAsia="zh-CN"/>
        </w:rPr>
        <w:t>级</w:t>
      </w:r>
      <w:r>
        <w:rPr>
          <w:rFonts w:ascii="仿宋_GB2312" w:hAnsi="仿宋_GB2312" w:eastAsia="仿宋_GB2312" w:cs="仿宋_GB2312"/>
          <w:color w:val="auto"/>
          <w:sz w:val="32"/>
          <w:szCs w:val="32"/>
          <w:highlight w:val="none"/>
        </w:rPr>
        <w:t>应急管理</w:t>
      </w:r>
      <w:r>
        <w:rPr>
          <w:rFonts w:hint="eastAsia" w:ascii="仿宋_GB2312" w:hAnsi="仿宋_GB2312" w:eastAsia="仿宋_GB2312" w:cs="仿宋_GB2312"/>
          <w:color w:val="auto"/>
          <w:sz w:val="32"/>
          <w:szCs w:val="32"/>
          <w:highlight w:val="none"/>
          <w:lang w:val="en-US" w:eastAsia="zh-CN"/>
        </w:rPr>
        <w:t>部门</w:t>
      </w:r>
      <w:r>
        <w:rPr>
          <w:rFonts w:ascii="仿宋_GB2312" w:hAnsi="仿宋_GB2312" w:eastAsia="仿宋_GB2312" w:cs="仿宋_GB2312"/>
          <w:color w:val="auto"/>
          <w:sz w:val="32"/>
          <w:szCs w:val="32"/>
          <w:highlight w:val="none"/>
        </w:rPr>
        <w:t>和相关</w:t>
      </w:r>
      <w:r>
        <w:rPr>
          <w:rFonts w:hint="eastAsia" w:ascii="仿宋_GB2312" w:hAnsi="仿宋_GB2312" w:eastAsia="仿宋_GB2312" w:cs="仿宋_GB2312"/>
          <w:color w:val="auto"/>
          <w:sz w:val="32"/>
          <w:szCs w:val="32"/>
          <w:highlight w:val="none"/>
        </w:rPr>
        <w:t>行业主管</w:t>
      </w:r>
      <w:r>
        <w:rPr>
          <w:rFonts w:ascii="仿宋_GB2312" w:hAnsi="仿宋_GB2312" w:eastAsia="仿宋_GB2312" w:cs="仿宋_GB2312"/>
          <w:color w:val="auto"/>
          <w:sz w:val="32"/>
          <w:szCs w:val="32"/>
          <w:highlight w:val="none"/>
        </w:rPr>
        <w:t>部门</w:t>
      </w:r>
      <w:r>
        <w:rPr>
          <w:rFonts w:hint="eastAsia" w:ascii="仿宋_GB2312" w:hAnsi="仿宋_GB2312" w:eastAsia="仿宋_GB2312" w:cs="仿宋_GB2312"/>
          <w:color w:val="auto"/>
          <w:sz w:val="32"/>
          <w:szCs w:val="32"/>
          <w:highlight w:val="none"/>
        </w:rPr>
        <w:t>可以根据行业、领域安全生产状况，加强对本行政区域内事故预防服务的监督指导。组织推动和指导保险机构开展集中性事故预防服务活动，协助被保险人健全完善安全管理体系，强化事故预防工作，促进生产经营单位提升安全风险管控水平。</w:t>
      </w:r>
    </w:p>
    <w:p w14:paraId="1489806C">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保险机构为被保险人开展事故预防服务，可以投资或委托具有相应资质或能力的安全生产技术服务机构。保险机构选择安全生产技术服务机构，应当遵循以下要求：</w:t>
      </w:r>
    </w:p>
    <w:p w14:paraId="0EBA77A5">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（一）</w:t>
      </w:r>
      <w:r>
        <w:rPr>
          <w:rFonts w:hint="eastAsia" w:ascii="仿宋_GB2312" w:hAnsi="仿宋_GB2312" w:eastAsia="仿宋_GB2312" w:cs="仿宋_GB2312"/>
          <w:color w:val="auto"/>
          <w:sz w:val="32"/>
          <w:szCs w:val="32"/>
          <w:highlight w:val="none"/>
        </w:rPr>
        <w:t>优先选择在自治区行政区域内依法设立、具有自治区各行业领域主管部门颁发相应资质认可的安全生产技术服务机构。法律法规对特定事故预防服务项目有资质要求的，应当选用具有相应法定资质的机构。</w:t>
      </w:r>
    </w:p>
    <w:p w14:paraId="72D8F437">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（二）</w:t>
      </w:r>
      <w:r>
        <w:rPr>
          <w:rFonts w:hint="eastAsia" w:ascii="仿宋_GB2312" w:hAnsi="仿宋_GB2312" w:eastAsia="仿宋_GB2312" w:cs="仿宋_GB2312"/>
          <w:color w:val="auto"/>
          <w:sz w:val="32"/>
          <w:szCs w:val="32"/>
          <w:highlight w:val="none"/>
        </w:rPr>
        <w:t>在同等条件下，保险机构</w:t>
      </w:r>
      <w:r>
        <w:rPr>
          <w:rFonts w:hint="eastAsia" w:ascii="仿宋_GB2312" w:hAnsi="仿宋_GB2312" w:eastAsia="仿宋_GB2312" w:cs="仿宋_GB2312"/>
          <w:color w:val="auto"/>
          <w:sz w:val="32"/>
          <w:szCs w:val="32"/>
          <w:highlight w:val="none"/>
          <w:lang w:val="en-US" w:eastAsia="zh-CN"/>
        </w:rPr>
        <w:t>可以</w:t>
      </w:r>
      <w:r>
        <w:rPr>
          <w:rFonts w:hint="eastAsia" w:ascii="仿宋_GB2312" w:hAnsi="仿宋_GB2312" w:eastAsia="仿宋_GB2312" w:cs="仿宋_GB2312"/>
          <w:color w:val="auto"/>
          <w:sz w:val="32"/>
          <w:szCs w:val="32"/>
          <w:highlight w:val="none"/>
        </w:rPr>
        <w:t>结合专业能力、服务质量保障、响应时效和服务成本等因素，选择能够提供及时、高效服务的安全生产技术服务机构，提高事故预防服务费的使用效益。</w:t>
      </w:r>
    </w:p>
    <w:p w14:paraId="68F83783">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color w:val="auto"/>
          <w:sz w:val="32"/>
          <w:szCs w:val="32"/>
          <w:highlight w:val="none"/>
        </w:rPr>
        <w:t>积极支持国家安全生产应急救援队伍等专业应急救援力量参与事故预防服务。鼓励保险机构将符合条件的国家专业应急救援队伍纳入事故预防服务机构选用范围，在安全生产应急预案编制、应急救援演练等服务项目中优先与其开展合作。</w:t>
      </w:r>
    </w:p>
    <w:p w14:paraId="2E9DB843">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kern w:val="2"/>
          <w:sz w:val="32"/>
          <w:szCs w:val="32"/>
          <w:lang w:val="en-US" w:eastAsia="zh-CN" w:bidi="ar-SA"/>
        </w:rPr>
        <w:t>（四）</w:t>
      </w:r>
      <w:r>
        <w:rPr>
          <w:rFonts w:hint="eastAsia" w:ascii="仿宋_GB2312" w:hAnsi="仿宋_GB2312" w:eastAsia="仿宋_GB2312" w:cs="仿宋_GB2312"/>
          <w:color w:val="auto"/>
          <w:sz w:val="32"/>
          <w:szCs w:val="32"/>
          <w:highlight w:val="none"/>
        </w:rPr>
        <w:t>保险机构选择安全生产技术服务机构，应当综合考量其资质能力、服务团队配置、专业人员资格与所服务行业领域的匹配度等因素。事故预防服务费的确定应当与服务工作量、技术难度和服务质量相匹配，不得以明显低于服务成本的报价选定服务机构。不得将事故预防服务项目整体转包，也不得违法分包给不具备相应资质或条件的第三方。</w:t>
      </w:r>
    </w:p>
    <w:p w14:paraId="15E3F56E">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保险机构应当根据被保险人的风险大小和类型，以生产安全重大事故隐患排查服务为主，分类施策开展事故预防服务。</w:t>
      </w:r>
      <w:r>
        <w:rPr>
          <w:rFonts w:ascii="仿宋_GB2312" w:hAnsi="仿宋_GB2312" w:eastAsia="仿宋_GB2312" w:cs="仿宋_GB2312"/>
          <w:color w:val="auto"/>
          <w:sz w:val="32"/>
          <w:szCs w:val="32"/>
          <w:highlight w:val="none"/>
        </w:rPr>
        <w:t>对于保费</w:t>
      </w:r>
      <w:r>
        <w:rPr>
          <w:rFonts w:ascii="仿宋_GB2312" w:hAnsi="仿宋_GB2312" w:eastAsia="仿宋_GB2312" w:cs="仿宋_GB2312"/>
          <w:color w:val="auto"/>
          <w:sz w:val="32"/>
          <w:szCs w:val="32"/>
          <w:highlight w:val="none"/>
          <w:u w:val="none"/>
          <w:lang w:val="en-US" w:eastAsia="zh-CN"/>
        </w:rPr>
        <w:t>2</w:t>
      </w:r>
      <w:r>
        <w:rPr>
          <w:rFonts w:ascii="仿宋_GB2312" w:hAnsi="仿宋_GB2312" w:eastAsia="仿宋_GB2312" w:cs="仿宋_GB2312"/>
          <w:color w:val="auto"/>
          <w:sz w:val="32"/>
          <w:szCs w:val="32"/>
          <w:highlight w:val="none"/>
        </w:rPr>
        <w:t>万元以上的保单，保险机构在承保期</w:t>
      </w:r>
      <w:r>
        <w:rPr>
          <w:rFonts w:hint="eastAsia" w:ascii="仿宋_GB2312" w:hAnsi="仿宋_GB2312" w:eastAsia="仿宋_GB2312" w:cs="仿宋_GB2312"/>
          <w:color w:val="auto"/>
          <w:sz w:val="32"/>
          <w:szCs w:val="32"/>
          <w:highlight w:val="none"/>
        </w:rPr>
        <w:t>限</w:t>
      </w:r>
      <w:r>
        <w:rPr>
          <w:rFonts w:ascii="仿宋_GB2312" w:hAnsi="仿宋_GB2312" w:eastAsia="仿宋_GB2312" w:cs="仿宋_GB2312"/>
          <w:color w:val="auto"/>
          <w:sz w:val="32"/>
          <w:szCs w:val="32"/>
          <w:highlight w:val="none"/>
        </w:rPr>
        <w:t>内应为</w:t>
      </w:r>
      <w:r>
        <w:rPr>
          <w:rFonts w:hint="eastAsia" w:ascii="仿宋_GB2312" w:hAnsi="仿宋_GB2312" w:eastAsia="仿宋_GB2312" w:cs="仿宋_GB2312"/>
          <w:color w:val="auto"/>
          <w:sz w:val="32"/>
          <w:szCs w:val="32"/>
          <w:highlight w:val="none"/>
          <w:lang w:val="en-US" w:eastAsia="zh-CN"/>
        </w:rPr>
        <w:t>被保险人</w:t>
      </w:r>
      <w:r>
        <w:rPr>
          <w:rFonts w:ascii="仿宋_GB2312" w:hAnsi="仿宋_GB2312" w:eastAsia="仿宋_GB2312" w:cs="仿宋_GB2312"/>
          <w:color w:val="auto"/>
          <w:sz w:val="32"/>
          <w:szCs w:val="32"/>
          <w:highlight w:val="none"/>
        </w:rPr>
        <w:t>提供至少1次现场服务；对于保费</w:t>
      </w:r>
      <w:r>
        <w:rPr>
          <w:rFonts w:ascii="仿宋_GB2312" w:hAnsi="仿宋_GB2312" w:eastAsia="仿宋_GB2312" w:cs="仿宋_GB2312"/>
          <w:color w:val="auto"/>
          <w:sz w:val="32"/>
          <w:szCs w:val="32"/>
          <w:highlight w:val="none"/>
          <w:u w:val="none"/>
          <w:lang w:val="en-US" w:eastAsia="zh-CN"/>
        </w:rPr>
        <w:t>5</w:t>
      </w:r>
      <w:r>
        <w:rPr>
          <w:rFonts w:ascii="仿宋_GB2312" w:hAnsi="仿宋_GB2312" w:eastAsia="仿宋_GB2312" w:cs="仿宋_GB2312"/>
          <w:color w:val="auto"/>
          <w:sz w:val="32"/>
          <w:szCs w:val="32"/>
          <w:highlight w:val="none"/>
        </w:rPr>
        <w:t>万元以上的保单，保险机构在承保期</w:t>
      </w:r>
      <w:r>
        <w:rPr>
          <w:rFonts w:hint="eastAsia" w:ascii="仿宋_GB2312" w:hAnsi="仿宋_GB2312" w:eastAsia="仿宋_GB2312" w:cs="仿宋_GB2312"/>
          <w:color w:val="auto"/>
          <w:sz w:val="32"/>
          <w:szCs w:val="32"/>
          <w:highlight w:val="none"/>
        </w:rPr>
        <w:t>限</w:t>
      </w:r>
      <w:r>
        <w:rPr>
          <w:rFonts w:ascii="仿宋_GB2312" w:hAnsi="仿宋_GB2312" w:eastAsia="仿宋_GB2312" w:cs="仿宋_GB2312"/>
          <w:color w:val="auto"/>
          <w:sz w:val="32"/>
          <w:szCs w:val="32"/>
          <w:highlight w:val="none"/>
        </w:rPr>
        <w:t>内应为</w:t>
      </w:r>
      <w:r>
        <w:rPr>
          <w:rFonts w:hint="eastAsia" w:ascii="仿宋_GB2312" w:hAnsi="仿宋_GB2312" w:eastAsia="仿宋_GB2312" w:cs="仿宋_GB2312"/>
          <w:color w:val="auto"/>
          <w:sz w:val="32"/>
          <w:szCs w:val="32"/>
          <w:highlight w:val="none"/>
          <w:lang w:val="en-US" w:eastAsia="zh-CN"/>
        </w:rPr>
        <w:t>被保险人</w:t>
      </w:r>
      <w:r>
        <w:rPr>
          <w:rFonts w:ascii="仿宋_GB2312" w:hAnsi="仿宋_GB2312" w:eastAsia="仿宋_GB2312" w:cs="仿宋_GB2312"/>
          <w:color w:val="auto"/>
          <w:sz w:val="32"/>
          <w:szCs w:val="32"/>
          <w:highlight w:val="none"/>
        </w:rPr>
        <w:t>提供至少2次现场服务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其中，</w:t>
      </w:r>
      <w:r>
        <w:rPr>
          <w:rFonts w:hint="eastAsia" w:ascii="仿宋_GB2312" w:hAnsi="仿宋_GB2312" w:eastAsia="仿宋_GB2312" w:cs="仿宋_GB2312"/>
          <w:color w:val="auto"/>
          <w:sz w:val="32"/>
          <w:szCs w:val="32"/>
          <w:highlight w:val="none"/>
        </w:rPr>
        <w:t>首次现场服务</w:t>
      </w:r>
      <w:r>
        <w:rPr>
          <w:rFonts w:hint="eastAsia" w:ascii="仿宋_GB2312" w:hAnsi="仿宋_GB2312" w:eastAsia="仿宋_GB2312" w:cs="仿宋_GB2312"/>
          <w:color w:val="auto"/>
          <w:sz w:val="32"/>
          <w:szCs w:val="32"/>
          <w:highlight w:val="none"/>
          <w:lang w:val="en-US" w:eastAsia="zh-CN"/>
        </w:rPr>
        <w:t>应</w:t>
      </w:r>
      <w:r>
        <w:rPr>
          <w:rFonts w:hint="eastAsia" w:ascii="仿宋_GB2312" w:hAnsi="仿宋_GB2312" w:eastAsia="仿宋_GB2312" w:cs="仿宋_GB2312"/>
          <w:color w:val="auto"/>
          <w:sz w:val="32"/>
          <w:szCs w:val="32"/>
          <w:highlight w:val="none"/>
        </w:rPr>
        <w:t>在起保后3个月内完成</w:t>
      </w:r>
      <w:r>
        <w:rPr>
          <w:rFonts w:ascii="仿宋_GB2312" w:hAnsi="仿宋_GB2312" w:eastAsia="仿宋_GB2312" w:cs="仿宋_GB2312"/>
          <w:color w:val="auto"/>
          <w:sz w:val="32"/>
          <w:szCs w:val="32"/>
          <w:highlight w:val="none"/>
        </w:rPr>
        <w:t>。对于保费</w:t>
      </w:r>
      <w:r>
        <w:rPr>
          <w:rFonts w:hint="eastAsia" w:ascii="仿宋_GB2312" w:hAnsi="仿宋_GB2312" w:eastAsia="仿宋_GB2312" w:cs="仿宋_GB2312"/>
          <w:color w:val="auto"/>
          <w:sz w:val="32"/>
          <w:szCs w:val="32"/>
          <w:highlight w:val="none"/>
          <w:u w:val="none"/>
          <w:lang w:val="en-US" w:eastAsia="zh-CN"/>
        </w:rPr>
        <w:t>2</w:t>
      </w:r>
      <w:r>
        <w:rPr>
          <w:rFonts w:ascii="仿宋_GB2312" w:hAnsi="仿宋_GB2312" w:eastAsia="仿宋_GB2312" w:cs="仿宋_GB2312"/>
          <w:color w:val="auto"/>
          <w:sz w:val="32"/>
          <w:szCs w:val="32"/>
          <w:highlight w:val="none"/>
          <w:u w:val="none"/>
        </w:rPr>
        <w:t>万</w:t>
      </w:r>
      <w:r>
        <w:rPr>
          <w:rFonts w:ascii="仿宋_GB2312" w:hAnsi="仿宋_GB2312" w:eastAsia="仿宋_GB2312" w:cs="仿宋_GB2312"/>
          <w:color w:val="auto"/>
          <w:sz w:val="32"/>
          <w:szCs w:val="32"/>
          <w:highlight w:val="none"/>
        </w:rPr>
        <w:t>元以下的保单，</w:t>
      </w:r>
      <w:r>
        <w:rPr>
          <w:rFonts w:hint="eastAsia" w:ascii="仿宋_GB2312" w:hAnsi="仿宋_GB2312" w:eastAsia="仿宋_GB2312" w:cs="仿宋_GB2312"/>
          <w:color w:val="auto"/>
          <w:sz w:val="32"/>
          <w:szCs w:val="32"/>
          <w:highlight w:val="none"/>
        </w:rPr>
        <w:t>保险机构可以通过集中服务、区域统筹等方式为被保险人提供</w:t>
      </w:r>
      <w:r>
        <w:rPr>
          <w:rFonts w:hint="eastAsia" w:ascii="仿宋_GB2312" w:hAnsi="仿宋_GB2312" w:eastAsia="仿宋_GB2312" w:cs="仿宋_GB2312"/>
          <w:color w:val="auto"/>
          <w:sz w:val="32"/>
          <w:szCs w:val="32"/>
          <w:highlight w:val="none"/>
          <w:lang w:val="en-US" w:eastAsia="zh-CN"/>
        </w:rPr>
        <w:t>事故预防</w:t>
      </w:r>
      <w:r>
        <w:rPr>
          <w:rFonts w:hint="eastAsia" w:ascii="仿宋_GB2312" w:hAnsi="仿宋_GB2312" w:eastAsia="仿宋_GB2312" w:cs="仿宋_GB2312"/>
          <w:color w:val="auto"/>
          <w:sz w:val="32"/>
          <w:szCs w:val="32"/>
          <w:highlight w:val="none"/>
        </w:rPr>
        <w:t>服务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确保每年至少1次</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本条所称</w:t>
      </w:r>
      <w:r>
        <w:rPr>
          <w:rFonts w:ascii="仿宋_GB2312" w:hAnsi="仿宋_GB2312" w:eastAsia="仿宋_GB2312" w:cs="仿宋_GB2312"/>
          <w:color w:val="auto"/>
          <w:sz w:val="32"/>
          <w:szCs w:val="32"/>
          <w:highlight w:val="none"/>
        </w:rPr>
        <w:t>“以上”包括本数。</w:t>
      </w:r>
    </w:p>
    <w:p w14:paraId="00DD2C73">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相关行业主管部门对事故预防服务另有规定的，按其规定执行。</w:t>
      </w:r>
    </w:p>
    <w:p w14:paraId="4A4F9369">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保险机构为</w:t>
      </w:r>
      <w:r>
        <w:rPr>
          <w:rFonts w:hint="eastAsia" w:ascii="仿宋_GB2312" w:hAnsi="仿宋_GB2312" w:eastAsia="仿宋_GB2312" w:cs="仿宋_GB2312"/>
          <w:color w:val="auto"/>
          <w:sz w:val="32"/>
          <w:szCs w:val="32"/>
          <w:highlight w:val="none"/>
          <w:lang w:val="en-US" w:eastAsia="zh-CN"/>
        </w:rPr>
        <w:t>被保险</w:t>
      </w:r>
      <w:r>
        <w:rPr>
          <w:rFonts w:hint="eastAsia" w:ascii="仿宋_GB2312" w:hAnsi="仿宋_GB2312" w:eastAsia="仿宋_GB2312" w:cs="仿宋_GB2312"/>
          <w:color w:val="auto"/>
          <w:sz w:val="32"/>
          <w:szCs w:val="32"/>
          <w:highlight w:val="none"/>
        </w:rPr>
        <w:t>人提供安全风险辨识、评估、评价</w:t>
      </w:r>
      <w:r>
        <w:rPr>
          <w:rFonts w:hint="eastAsia" w:ascii="仿宋_GB2312" w:hAnsi="仿宋_GB2312" w:eastAsia="仿宋_GB2312" w:cs="仿宋_GB2312"/>
          <w:color w:val="auto"/>
          <w:sz w:val="32"/>
          <w:szCs w:val="32"/>
          <w:highlight w:val="none"/>
          <w:lang w:val="en-US" w:eastAsia="zh-CN"/>
        </w:rPr>
        <w:t>及</w:t>
      </w:r>
      <w:r>
        <w:rPr>
          <w:rFonts w:hint="eastAsia" w:ascii="仿宋_GB2312" w:hAnsi="仿宋_GB2312" w:eastAsia="仿宋_GB2312" w:cs="仿宋_GB2312"/>
          <w:color w:val="auto"/>
          <w:sz w:val="32"/>
          <w:szCs w:val="32"/>
          <w:highlight w:val="none"/>
        </w:rPr>
        <w:t>事故隐患排查</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rPr>
        <w:t>服务，应在</w:t>
      </w:r>
      <w:r>
        <w:rPr>
          <w:rFonts w:ascii="仿宋_GB2312" w:hAnsi="仿宋_GB2312" w:eastAsia="仿宋_GB2312" w:cs="仿宋_GB2312"/>
          <w:color w:val="auto"/>
          <w:sz w:val="32"/>
          <w:szCs w:val="32"/>
          <w:highlight w:val="none"/>
        </w:rPr>
        <w:t>每次服务完成后</w:t>
      </w:r>
      <w:r>
        <w:rPr>
          <w:rFonts w:hint="eastAsia" w:ascii="仿宋_GB2312" w:hAnsi="仿宋_GB2312" w:eastAsia="仿宋_GB2312" w:cs="仿宋_GB2312"/>
          <w:color w:val="auto"/>
          <w:sz w:val="32"/>
          <w:szCs w:val="32"/>
          <w:highlight w:val="none"/>
          <w:lang w:val="en-US" w:eastAsia="zh-CN"/>
        </w:rPr>
        <w:t>及时撰写</w:t>
      </w:r>
      <w:r>
        <w:rPr>
          <w:rFonts w:ascii="仿宋_GB2312" w:hAnsi="仿宋_GB2312" w:eastAsia="仿宋_GB2312" w:cs="仿宋_GB2312"/>
          <w:color w:val="auto"/>
          <w:sz w:val="32"/>
          <w:szCs w:val="32"/>
          <w:highlight w:val="none"/>
        </w:rPr>
        <w:t>事故预防服务报告</w:t>
      </w:r>
      <w:r>
        <w:rPr>
          <w:rFonts w:hint="eastAsia" w:ascii="仿宋_GB2312" w:hAnsi="仿宋_GB2312" w:eastAsia="仿宋_GB2312" w:cs="仿宋_GB2312"/>
          <w:color w:val="auto"/>
          <w:sz w:val="32"/>
          <w:szCs w:val="32"/>
          <w:highlight w:val="none"/>
          <w:lang w:eastAsia="zh-CN"/>
        </w:rPr>
        <w:t>，</w:t>
      </w:r>
      <w:r>
        <w:rPr>
          <w:rFonts w:hint="default" w:ascii="Times New Roman" w:hAnsi="Times New Roman" w:eastAsia="仿宋_GB2312" w:cs="Times New Roman"/>
          <w:snapToGrid w:val="0"/>
          <w:color w:val="auto"/>
          <w:kern w:val="0"/>
          <w:sz w:val="32"/>
          <w:szCs w:val="22"/>
          <w:highlight w:val="none"/>
          <w:lang w:eastAsia="en-US"/>
        </w:rPr>
        <w:t>并在服务完成后的</w:t>
      </w:r>
      <w:r>
        <w:rPr>
          <w:rFonts w:hint="default" w:ascii="Times New Roman" w:hAnsi="Times New Roman" w:eastAsia="仿宋_GB2312" w:cs="Times New Roman"/>
          <w:snapToGrid w:val="0"/>
          <w:color w:val="auto"/>
          <w:kern w:val="0"/>
          <w:sz w:val="32"/>
          <w:szCs w:val="22"/>
          <w:highlight w:val="none"/>
          <w:lang w:val="en-US" w:eastAsia="zh-CN"/>
        </w:rPr>
        <w:t>10</w:t>
      </w:r>
      <w:r>
        <w:rPr>
          <w:rFonts w:hint="default" w:ascii="Times New Roman" w:hAnsi="Times New Roman" w:eastAsia="仿宋_GB2312" w:cs="Times New Roman"/>
          <w:snapToGrid w:val="0"/>
          <w:color w:val="auto"/>
          <w:kern w:val="0"/>
          <w:sz w:val="32"/>
          <w:szCs w:val="22"/>
          <w:highlight w:val="none"/>
          <w:lang w:eastAsia="en-US"/>
        </w:rPr>
        <w:t>个工作日内整理上传系统</w:t>
      </w:r>
      <w:r>
        <w:rPr>
          <w:rFonts w:ascii="仿宋_GB2312" w:hAnsi="仿宋_GB2312" w:eastAsia="仿宋_GB2312" w:cs="仿宋_GB2312"/>
          <w:color w:val="auto"/>
          <w:sz w:val="32"/>
          <w:szCs w:val="32"/>
          <w:highlight w:val="none"/>
        </w:rPr>
        <w:t>。</w:t>
      </w:r>
    </w:p>
    <w:p w14:paraId="7AF73748">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投保单位应当主动配合</w:t>
      </w:r>
      <w:r>
        <w:rPr>
          <w:rFonts w:hint="eastAsia" w:ascii="仿宋_GB2312" w:hAnsi="仿宋_GB2312" w:eastAsia="仿宋_GB2312" w:cs="仿宋_GB2312"/>
          <w:color w:val="auto"/>
          <w:sz w:val="32"/>
          <w:szCs w:val="32"/>
          <w:highlight w:val="none"/>
          <w:lang w:val="en-US" w:eastAsia="zh-CN"/>
        </w:rPr>
        <w:t>保险机构</w:t>
      </w:r>
      <w:r>
        <w:rPr>
          <w:rFonts w:hint="eastAsia" w:ascii="仿宋_GB2312" w:hAnsi="仿宋_GB2312" w:eastAsia="仿宋_GB2312" w:cs="仿宋_GB2312"/>
          <w:color w:val="auto"/>
          <w:sz w:val="32"/>
          <w:szCs w:val="32"/>
          <w:highlight w:val="none"/>
        </w:rPr>
        <w:t>开展事故预防服务工作，提高安全生产管理水平，对事故预防服务予以配合，及时提供相关资料。对事故预防服务过程中发现的一般生产安全事故隐患，在规定时限内完成整改，及时消除安全隐患。对事故预防服务过程中排查出的重大事故隐患，应当组织制定并实施重大事故隐患治理方案，按照《中华人民共和国安全生产法》规定，及时向属地应急管理部门报告重大事故隐患排查治理情况。对发现的隐患及时整改；对重大事故隐患已按规定报告并正在采取有效措施消除的，依法不予处罚。</w:t>
      </w:r>
    </w:p>
    <w:p w14:paraId="1C155D68">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保险机构</w:t>
      </w:r>
      <w:r>
        <w:rPr>
          <w:rFonts w:ascii="仿宋_GB2312" w:hAnsi="仿宋_GB2312" w:eastAsia="仿宋_GB2312" w:cs="仿宋_GB2312"/>
          <w:color w:val="auto"/>
          <w:sz w:val="32"/>
          <w:szCs w:val="32"/>
          <w:highlight w:val="none"/>
          <w:lang w:val="en-US" w:eastAsia="zh-CN"/>
        </w:rPr>
        <w:t>应当</w:t>
      </w:r>
      <w:r>
        <w:rPr>
          <w:rFonts w:hint="eastAsia" w:ascii="仿宋_GB2312" w:hAnsi="仿宋_GB2312" w:eastAsia="仿宋_GB2312" w:cs="仿宋_GB2312"/>
          <w:color w:val="auto"/>
          <w:sz w:val="32"/>
          <w:szCs w:val="32"/>
          <w:highlight w:val="none"/>
        </w:rPr>
        <w:t>加强事故预防服务风控团队和专业能力建设，明确负责安责险及事故预防服务工作的管理机构、管理人员。建立</w:t>
      </w:r>
      <w:r>
        <w:rPr>
          <w:rFonts w:ascii="仿宋_GB2312" w:hAnsi="仿宋_GB2312" w:eastAsia="仿宋_GB2312" w:cs="仿宋_GB2312"/>
          <w:color w:val="auto"/>
          <w:sz w:val="32"/>
          <w:szCs w:val="32"/>
          <w:highlight w:val="none"/>
        </w:rPr>
        <w:t>健全安责险工作管理制度，包括但不限于工作责任制、服务流程、质量控制、机构管理、人员管理、档案管理、投诉处理和评价考核管理制度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规范服务流程，完善内部控制</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管理人员数量和专业能力应当与所承保安责险业务相匹配，对事故预防服务进行跟踪管理。</w:t>
      </w:r>
    </w:p>
    <w:p w14:paraId="09652FA0">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保险机构可以充分运用在线服务、在线监测等科技手段开展事故预防服务，降低事故预防服务成本，提高事故预防服务费用使用效率。</w:t>
      </w:r>
    </w:p>
    <w:p w14:paraId="13A5655F">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自治区应急管理厅</w:t>
      </w:r>
      <w:r>
        <w:rPr>
          <w:rFonts w:hint="eastAsia" w:ascii="仿宋_GB2312" w:hAnsi="仿宋_GB2312" w:eastAsia="仿宋_GB2312" w:cs="仿宋_GB2312"/>
          <w:color w:val="auto"/>
          <w:sz w:val="32"/>
          <w:szCs w:val="32"/>
          <w:highlight w:val="none"/>
        </w:rPr>
        <w:t>会同</w:t>
      </w:r>
      <w:r>
        <w:rPr>
          <w:rFonts w:hint="eastAsia" w:ascii="仿宋_GB2312" w:hAnsi="仿宋_GB2312" w:eastAsia="仿宋_GB2312" w:cs="仿宋_GB2312"/>
          <w:color w:val="auto"/>
          <w:sz w:val="32"/>
          <w:szCs w:val="32"/>
          <w:highlight w:val="none"/>
          <w:lang w:val="en-US" w:eastAsia="zh-CN"/>
        </w:rPr>
        <w:t>新疆金融监管局、</w:t>
      </w:r>
      <w:r>
        <w:rPr>
          <w:rFonts w:hint="eastAsia" w:ascii="仿宋_GB2312" w:hAnsi="仿宋_GB2312" w:eastAsia="仿宋_GB2312" w:cs="仿宋_GB2312"/>
          <w:color w:val="auto"/>
          <w:sz w:val="32"/>
          <w:szCs w:val="32"/>
          <w:highlight w:val="none"/>
        </w:rPr>
        <w:t>相关行业主管部门，推动保险机构加大事故预防服务投入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鼓励保险机构根据行业领域事故预防服务需要逐年提高安责险事故预防服务费用占比，到2028年事故预防服务费用预算目标达到上年度安责险实收保费的20%。</w:t>
      </w:r>
    </w:p>
    <w:p w14:paraId="31F9E9B9">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事故预防服务费用应当专项用于事故预防，据实列支，不得挤占、挪用、截留、虚列或变相返还。事故预防服务费用原则上应在承保期限内使用完毕</w:t>
      </w:r>
      <w:r>
        <w:rPr>
          <w:rFonts w:hint="eastAsia" w:ascii="仿宋_GB2312" w:hAnsi="仿宋_GB2312" w:eastAsia="仿宋_GB2312" w:cs="仿宋_GB2312"/>
          <w:strike w:val="0"/>
          <w:color w:val="auto"/>
          <w:sz w:val="32"/>
          <w:szCs w:val="32"/>
          <w:highlight w:val="none"/>
          <w:lang w:eastAsia="zh-CN"/>
        </w:rPr>
        <w:t>。</w:t>
      </w:r>
    </w:p>
    <w:p w14:paraId="570386A7">
      <w:pPr>
        <w:keepNext/>
        <w:keepLines/>
        <w:widowControl w:val="0"/>
        <w:bidi w:val="0"/>
        <w:spacing w:before="50" w:beforeLines="50" w:after="50" w:afterLines="50" w:line="560" w:lineRule="exact"/>
        <w:ind w:firstLine="0" w:firstLineChars="0"/>
        <w:jc w:val="center"/>
        <w:outlineLvl w:val="1"/>
        <w:rPr>
          <w:rFonts w:ascii="Arial" w:hAnsi="Arial" w:eastAsia="黑体" w:cs="Times New Roman"/>
          <w:bCs/>
          <w:kern w:val="2"/>
          <w:sz w:val="32"/>
          <w:szCs w:val="32"/>
          <w:highlight w:val="none"/>
          <w:lang w:val="en-US" w:eastAsia="zh-CN" w:bidi="ar-SA"/>
        </w:rPr>
      </w:pPr>
      <w:r>
        <w:rPr>
          <w:rFonts w:ascii="Arial" w:hAnsi="Arial" w:eastAsia="黑体" w:cs="Times New Roman"/>
          <w:bCs/>
          <w:kern w:val="2"/>
          <w:sz w:val="32"/>
          <w:szCs w:val="32"/>
          <w:highlight w:val="none"/>
          <w:lang w:val="en-US" w:eastAsia="zh-CN" w:bidi="ar-SA"/>
        </w:rPr>
        <w:t>第四章 理赔</w:t>
      </w:r>
    </w:p>
    <w:p w14:paraId="3B9AE41F">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被保险人在安责险合同有效期内发生事故，造成合同约定赔偿范围内的损失，保险机构应当严格按照法律规定或合同约定及时予以赔偿。同一被保险人的从业人员取得的赔偿保险金应当实行同一标准，不得因用工方式、工作岗位等差别对待。</w:t>
      </w:r>
    </w:p>
    <w:p w14:paraId="6F010DE1">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保险机构应当建立重大或典型事故安责险快速理赔和预付赔款机制，简化理赔流程</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重大</w:t>
      </w:r>
      <w:r>
        <w:rPr>
          <w:rFonts w:hint="eastAsia" w:ascii="仿宋_GB2312" w:hAnsi="仿宋_GB2312" w:eastAsia="仿宋_GB2312" w:cs="仿宋_GB2312"/>
          <w:color w:val="auto"/>
          <w:sz w:val="32"/>
          <w:szCs w:val="32"/>
          <w:highlight w:val="none"/>
          <w:u w:val="none"/>
        </w:rPr>
        <w:t>事故发生后，</w:t>
      </w:r>
      <w:r>
        <w:rPr>
          <w:rFonts w:hint="eastAsia" w:ascii="仿宋_GB2312" w:hAnsi="仿宋_GB2312" w:eastAsia="仿宋_GB2312" w:cs="仿宋_GB2312"/>
          <w:color w:val="auto"/>
          <w:sz w:val="32"/>
          <w:szCs w:val="32"/>
          <w:highlight w:val="none"/>
          <w:lang w:val="en-US" w:eastAsia="zh-CN"/>
        </w:rPr>
        <w:t>被保险</w:t>
      </w:r>
      <w:r>
        <w:rPr>
          <w:rFonts w:ascii="仿宋_GB2312" w:hAnsi="仿宋_GB2312" w:eastAsia="仿宋_GB2312" w:cs="仿宋_GB2312"/>
          <w:color w:val="auto"/>
          <w:sz w:val="32"/>
          <w:szCs w:val="32"/>
          <w:highlight w:val="none"/>
        </w:rPr>
        <w:t>人按照合同要求向保险机构提供理赔材料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none"/>
        </w:rPr>
        <w:t>保险机构根据已有证明和资料可以确定的赔偿数额，原则上应在5个工作日内先予支付；剩余部分保险金，应与被保险人或受益人达成赔偿协议后10日内付清</w:t>
      </w:r>
      <w:r>
        <w:rPr>
          <w:rFonts w:hint="eastAsia" w:ascii="仿宋_GB2312" w:hAnsi="仿宋_GB2312" w:eastAsia="仿宋_GB2312" w:cs="仿宋_GB2312"/>
          <w:color w:val="auto"/>
          <w:sz w:val="32"/>
          <w:szCs w:val="32"/>
          <w:highlight w:val="none"/>
          <w:u w:val="none"/>
          <w:lang w:eastAsia="zh-CN"/>
        </w:rPr>
        <w:t>；</w:t>
      </w:r>
      <w:r>
        <w:rPr>
          <w:rFonts w:ascii="仿宋_GB2312" w:hAnsi="仿宋_GB2312" w:eastAsia="仿宋_GB2312" w:cs="仿宋_GB2312"/>
          <w:color w:val="auto"/>
          <w:sz w:val="32"/>
          <w:szCs w:val="32"/>
          <w:highlight w:val="none"/>
        </w:rPr>
        <w:t>情形复杂的，应当自收到理赔材料之日起</w:t>
      </w:r>
      <w:r>
        <w:rPr>
          <w:rFonts w:ascii="仿宋_GB2312" w:hAnsi="仿宋_GB2312" w:eastAsia="仿宋_GB2312" w:cs="仿宋_GB2312"/>
          <w:color w:val="auto"/>
          <w:sz w:val="32"/>
          <w:szCs w:val="32"/>
          <w:highlight w:val="none"/>
          <w:lang w:val="en-US" w:eastAsia="zh-CN"/>
        </w:rPr>
        <w:t>30</w:t>
      </w:r>
      <w:r>
        <w:rPr>
          <w:rFonts w:ascii="仿宋_GB2312" w:hAnsi="仿宋_GB2312" w:eastAsia="仿宋_GB2312" w:cs="仿宋_GB2312"/>
          <w:color w:val="auto"/>
          <w:sz w:val="32"/>
          <w:szCs w:val="32"/>
          <w:highlight w:val="none"/>
        </w:rPr>
        <w:t>日内</w:t>
      </w:r>
      <w:r>
        <w:rPr>
          <w:rFonts w:hint="eastAsia" w:ascii="仿宋_GB2312" w:hAnsi="仿宋_GB2312" w:eastAsia="仿宋_GB2312" w:cs="仿宋_GB2312"/>
          <w:color w:val="auto"/>
          <w:sz w:val="32"/>
          <w:szCs w:val="32"/>
          <w:highlight w:val="none"/>
        </w:rPr>
        <w:t>完成核定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达成赔偿协议后10日内付清赔偿保险金</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并将理赔数据录入</w:t>
      </w:r>
      <w:r>
        <w:rPr>
          <w:rFonts w:hint="eastAsia" w:ascii="仿宋_GB2312" w:hAnsi="仿宋_GB2312" w:eastAsia="仿宋_GB2312" w:cs="仿宋_GB2312"/>
          <w:color w:val="auto"/>
          <w:sz w:val="32"/>
          <w:szCs w:val="32"/>
          <w:highlight w:val="none"/>
          <w:lang w:eastAsia="zh-CN"/>
        </w:rPr>
        <w:t>自治区安责险信息管理系统。</w:t>
      </w:r>
      <w:r>
        <w:rPr>
          <w:rFonts w:ascii="仿宋_GB2312" w:hAnsi="仿宋_GB2312" w:eastAsia="仿宋_GB2312" w:cs="仿宋_GB2312"/>
          <w:color w:val="auto"/>
          <w:sz w:val="32"/>
          <w:szCs w:val="32"/>
          <w:highlight w:val="none"/>
        </w:rPr>
        <w:t>保险机构认为有关材料不完整的，应当一次性通知</w:t>
      </w:r>
      <w:r>
        <w:rPr>
          <w:rFonts w:hint="eastAsia" w:ascii="仿宋_GB2312" w:hAnsi="仿宋_GB2312" w:eastAsia="仿宋_GB2312" w:cs="仿宋_GB2312"/>
          <w:color w:val="auto"/>
          <w:sz w:val="32"/>
          <w:szCs w:val="32"/>
          <w:highlight w:val="none"/>
        </w:rPr>
        <w:t>被保险人</w:t>
      </w:r>
      <w:r>
        <w:rPr>
          <w:rFonts w:ascii="仿宋_GB2312" w:hAnsi="仿宋_GB2312" w:eastAsia="仿宋_GB2312" w:cs="仿宋_GB2312"/>
          <w:color w:val="auto"/>
          <w:sz w:val="32"/>
          <w:szCs w:val="32"/>
          <w:highlight w:val="none"/>
        </w:rPr>
        <w:t>补充提供。</w:t>
      </w:r>
    </w:p>
    <w:p w14:paraId="012E678C">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trike w:val="0"/>
          <w:color w:val="auto"/>
          <w:sz w:val="32"/>
          <w:szCs w:val="32"/>
          <w:highlight w:val="none"/>
        </w:rPr>
      </w:pPr>
      <w:r>
        <w:rPr>
          <w:rFonts w:hint="eastAsia" w:ascii="仿宋_GB2312" w:hAnsi="仿宋_GB2312" w:eastAsia="仿宋_GB2312" w:cs="仿宋_GB2312"/>
          <w:color w:val="auto"/>
          <w:sz w:val="32"/>
          <w:szCs w:val="32"/>
          <w:highlight w:val="none"/>
          <w:lang w:eastAsia="zh-CN"/>
        </w:rPr>
        <w:t>安</w:t>
      </w:r>
      <w:r>
        <w:rPr>
          <w:rFonts w:hint="eastAsia" w:ascii="仿宋_GB2312" w:hAnsi="仿宋_GB2312" w:eastAsia="仿宋_GB2312" w:cs="仿宋_GB2312"/>
          <w:color w:val="auto"/>
          <w:sz w:val="32"/>
          <w:szCs w:val="32"/>
          <w:highlight w:val="none"/>
        </w:rPr>
        <w:t>责险合同订立双方及受害人对赔偿有争议的，应当依法通过申请仲裁或者向人民法院提起诉讼等方式解决</w:t>
      </w:r>
      <w:r>
        <w:rPr>
          <w:rFonts w:hint="eastAsia" w:ascii="仿宋_GB2312" w:hAnsi="仿宋_GB2312" w:eastAsia="仿宋_GB2312" w:cs="仿宋_GB2312"/>
          <w:color w:val="auto"/>
          <w:sz w:val="32"/>
          <w:szCs w:val="32"/>
          <w:highlight w:val="none"/>
          <w:lang w:eastAsia="zh-CN"/>
        </w:rPr>
        <w:t>。</w:t>
      </w:r>
    </w:p>
    <w:p w14:paraId="0F7D3500">
      <w:pPr>
        <w:keepNext/>
        <w:keepLines/>
        <w:widowControl w:val="0"/>
        <w:bidi w:val="0"/>
        <w:spacing w:before="50" w:beforeLines="50" w:after="50" w:afterLines="50" w:line="560" w:lineRule="exact"/>
        <w:ind w:firstLine="0" w:firstLineChars="0"/>
        <w:jc w:val="center"/>
        <w:outlineLvl w:val="1"/>
        <w:rPr>
          <w:rFonts w:ascii="Arial" w:hAnsi="Arial" w:eastAsia="黑体" w:cs="Times New Roman"/>
          <w:bCs/>
          <w:kern w:val="2"/>
          <w:sz w:val="32"/>
          <w:szCs w:val="32"/>
          <w:highlight w:val="none"/>
          <w:lang w:val="en-US" w:eastAsia="zh-CN" w:bidi="ar-SA"/>
        </w:rPr>
      </w:pPr>
      <w:r>
        <w:rPr>
          <w:rFonts w:ascii="Arial" w:hAnsi="Arial" w:eastAsia="黑体" w:cs="Times New Roman"/>
          <w:bCs/>
          <w:kern w:val="2"/>
          <w:sz w:val="32"/>
          <w:szCs w:val="32"/>
          <w:highlight w:val="none"/>
          <w:lang w:val="en-US" w:eastAsia="zh-CN" w:bidi="ar-SA"/>
        </w:rPr>
        <w:t>第五章 管理与监督</w:t>
      </w:r>
    </w:p>
    <w:p w14:paraId="22CB31BA">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安责险联席会议机制牵头召集人为自治区应急管理厅和</w:t>
      </w:r>
      <w:r>
        <w:rPr>
          <w:rFonts w:hint="eastAsia" w:ascii="仿宋_GB2312" w:hAnsi="仿宋_GB2312" w:eastAsia="仿宋_GB2312" w:cs="仿宋_GB2312"/>
          <w:color w:val="auto"/>
          <w:sz w:val="32"/>
          <w:szCs w:val="32"/>
          <w:highlight w:val="none"/>
          <w:lang w:val="en-US" w:eastAsia="zh-CN"/>
        </w:rPr>
        <w:t>新疆</w:t>
      </w:r>
      <w:r>
        <w:rPr>
          <w:rFonts w:hint="eastAsia" w:ascii="仿宋_GB2312" w:hAnsi="仿宋_GB2312" w:eastAsia="仿宋_GB2312" w:cs="仿宋_GB2312"/>
          <w:color w:val="auto"/>
          <w:sz w:val="32"/>
          <w:szCs w:val="32"/>
          <w:highlight w:val="none"/>
        </w:rPr>
        <w:t>金融监管局分管负责人，自治区应急管理厅、自治区财政厅、</w:t>
      </w:r>
      <w:r>
        <w:rPr>
          <w:rFonts w:hint="eastAsia" w:ascii="仿宋_GB2312" w:hAnsi="仿宋_GB2312" w:eastAsia="仿宋_GB2312" w:cs="仿宋_GB2312"/>
          <w:color w:val="auto"/>
          <w:sz w:val="32"/>
          <w:szCs w:val="32"/>
          <w:highlight w:val="none"/>
          <w:lang w:val="en-US" w:eastAsia="zh-CN"/>
        </w:rPr>
        <w:t>新疆</w:t>
      </w:r>
      <w:r>
        <w:rPr>
          <w:rFonts w:hint="eastAsia" w:ascii="仿宋_GB2312" w:hAnsi="仿宋_GB2312" w:eastAsia="仿宋_GB2312" w:cs="仿宋_GB2312"/>
          <w:color w:val="auto"/>
          <w:sz w:val="32"/>
          <w:szCs w:val="32"/>
          <w:highlight w:val="none"/>
        </w:rPr>
        <w:t>金融监管局和自治区相关行业主管部门责任处室主要负责人为成员，每半年至少召开一次会商会议，研判实施推进情况，协调解决共性问题、重难点问题，并以会议纪要等方式明确议定事项。通报</w:t>
      </w:r>
      <w:r>
        <w:rPr>
          <w:rFonts w:hint="eastAsia" w:ascii="仿宋_GB2312" w:hAnsi="仿宋_GB2312" w:eastAsia="仿宋_GB2312" w:cs="仿宋_GB2312"/>
          <w:color w:val="auto"/>
          <w:sz w:val="32"/>
          <w:szCs w:val="32"/>
          <w:highlight w:val="none"/>
          <w:lang w:val="en-US" w:eastAsia="zh-CN"/>
        </w:rPr>
        <w:t>各地（州</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市）</w:t>
      </w:r>
      <w:r>
        <w:rPr>
          <w:rFonts w:hint="eastAsia" w:ascii="仿宋_GB2312" w:hAnsi="仿宋_GB2312" w:eastAsia="仿宋_GB2312" w:cs="仿宋_GB2312"/>
          <w:color w:val="auto"/>
          <w:sz w:val="32"/>
          <w:szCs w:val="32"/>
          <w:highlight w:val="none"/>
        </w:rPr>
        <w:t>行业领域安责险实施情况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形成监管合力，推动安责险工作落地见效。</w:t>
      </w:r>
    </w:p>
    <w:p w14:paraId="7F0EC6CD">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安全生产技术服务机构开展安责险事故预防服务</w:t>
      </w:r>
      <w:r>
        <w:rPr>
          <w:rFonts w:hint="eastAsia" w:ascii="仿宋_GB2312" w:hAnsi="仿宋_GB2312" w:eastAsia="仿宋_GB2312" w:cs="仿宋_GB2312"/>
          <w:color w:val="auto"/>
          <w:sz w:val="32"/>
          <w:szCs w:val="32"/>
          <w:highlight w:val="none"/>
          <w:lang w:eastAsia="zh-CN"/>
        </w:rPr>
        <w:t>违反</w:t>
      </w:r>
      <w:r>
        <w:rPr>
          <w:rFonts w:hint="eastAsia" w:ascii="仿宋_GB2312" w:hAnsi="仿宋_GB2312" w:eastAsia="仿宋_GB2312" w:cs="仿宋_GB2312"/>
          <w:color w:val="auto"/>
          <w:sz w:val="32"/>
          <w:szCs w:val="32"/>
          <w:highlight w:val="none"/>
        </w:rPr>
        <w:t>本细则有下列情况之一的，应急管理部门、</w:t>
      </w:r>
      <w:r>
        <w:rPr>
          <w:rFonts w:hint="eastAsia" w:ascii="仿宋_GB2312" w:hAnsi="仿宋_GB2312" w:eastAsia="仿宋_GB2312" w:cs="仿宋_GB2312"/>
          <w:color w:val="auto"/>
          <w:sz w:val="32"/>
          <w:szCs w:val="32"/>
          <w:highlight w:val="none"/>
          <w:lang w:eastAsia="zh-CN"/>
        </w:rPr>
        <w:t>金融监管部门</w:t>
      </w:r>
      <w:r>
        <w:rPr>
          <w:rFonts w:hint="eastAsia" w:ascii="仿宋_GB2312" w:hAnsi="仿宋_GB2312" w:eastAsia="仿宋_GB2312" w:cs="仿宋_GB2312"/>
          <w:color w:val="auto"/>
          <w:sz w:val="32"/>
          <w:szCs w:val="32"/>
          <w:highlight w:val="none"/>
        </w:rPr>
        <w:t>和相关行业主管部门</w:t>
      </w:r>
      <w:r>
        <w:rPr>
          <w:rFonts w:hint="eastAsia" w:ascii="仿宋_GB2312" w:hAnsi="仿宋_GB2312" w:eastAsia="仿宋_GB2312" w:cs="仿宋_GB2312"/>
          <w:i w:val="0"/>
          <w:iCs w:val="0"/>
          <w:caps w:val="0"/>
          <w:color w:val="auto"/>
          <w:spacing w:val="0"/>
          <w:sz w:val="32"/>
          <w:szCs w:val="32"/>
          <w:highlight w:val="none"/>
          <w:shd w:val="clear"/>
          <w:vertAlign w:val="baseline"/>
        </w:rPr>
        <w:t>依据职责</w:t>
      </w:r>
      <w:r>
        <w:rPr>
          <w:rFonts w:hint="eastAsia" w:ascii="仿宋_GB2312" w:hAnsi="仿宋_GB2312" w:eastAsia="仿宋_GB2312" w:cs="仿宋_GB2312"/>
          <w:color w:val="auto"/>
          <w:sz w:val="32"/>
          <w:szCs w:val="32"/>
          <w:highlight w:val="none"/>
        </w:rPr>
        <w:t>可以依法采取约谈、责令限期整改等措施；违反相关法律法规的，依法追究其法律责任。</w:t>
      </w:r>
    </w:p>
    <w:p w14:paraId="516F1883">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（一）</w:t>
      </w:r>
      <w:r>
        <w:rPr>
          <w:rFonts w:hint="eastAsia" w:ascii="仿宋_GB2312" w:hAnsi="仿宋_GB2312" w:eastAsia="仿宋_GB2312" w:cs="仿宋_GB2312"/>
          <w:color w:val="auto"/>
          <w:sz w:val="32"/>
          <w:szCs w:val="32"/>
          <w:highlight w:val="none"/>
        </w:rPr>
        <w:t>不具备资质或能力开展事故预防服务的；</w:t>
      </w:r>
    </w:p>
    <w:p w14:paraId="6DC3980E">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（二）</w:t>
      </w:r>
      <w:r>
        <w:rPr>
          <w:rFonts w:hint="eastAsia" w:ascii="仿宋_GB2312" w:hAnsi="仿宋_GB2312" w:eastAsia="仿宋_GB2312" w:cs="仿宋_GB2312"/>
          <w:color w:val="auto"/>
          <w:sz w:val="32"/>
          <w:szCs w:val="32"/>
          <w:highlight w:val="none"/>
        </w:rPr>
        <w:t>将受委托的事故预防服务再次委托给第三方的；</w:t>
      </w:r>
    </w:p>
    <w:p w14:paraId="5A9FA766">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color w:val="auto"/>
          <w:sz w:val="32"/>
          <w:szCs w:val="32"/>
          <w:highlight w:val="none"/>
        </w:rPr>
        <w:t>服务类型、频次、时长及专业能力达不到合同约定的；</w:t>
      </w:r>
    </w:p>
    <w:p w14:paraId="700B1CCD">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（四）</w:t>
      </w:r>
      <w:r>
        <w:rPr>
          <w:rFonts w:hint="eastAsia" w:ascii="仿宋_GB2312" w:hAnsi="仿宋_GB2312" w:eastAsia="仿宋_GB2312" w:cs="仿宋_GB2312"/>
          <w:color w:val="auto"/>
          <w:sz w:val="32"/>
          <w:szCs w:val="32"/>
          <w:highlight w:val="none"/>
        </w:rPr>
        <w:t>提供虚假事故预防服务报告的；</w:t>
      </w:r>
    </w:p>
    <w:p w14:paraId="3F90CDBC">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（五）</w:t>
      </w:r>
      <w:r>
        <w:rPr>
          <w:rFonts w:hint="eastAsia" w:ascii="仿宋_GB2312" w:hAnsi="仿宋_GB2312" w:eastAsia="仿宋_GB2312" w:cs="仿宋_GB2312"/>
          <w:color w:val="auto"/>
          <w:sz w:val="32"/>
          <w:szCs w:val="32"/>
          <w:highlight w:val="none"/>
        </w:rPr>
        <w:t>泄露被保险人职工信息或技术秘密、商业秘密的；</w:t>
      </w:r>
    </w:p>
    <w:p w14:paraId="3CDFCA35">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（六）</w:t>
      </w:r>
      <w:r>
        <w:rPr>
          <w:rFonts w:hint="eastAsia" w:ascii="仿宋_GB2312" w:hAnsi="仿宋_GB2312" w:eastAsia="仿宋_GB2312" w:cs="仿宋_GB2312"/>
          <w:color w:val="auto"/>
          <w:sz w:val="32"/>
          <w:szCs w:val="32"/>
          <w:highlight w:val="none"/>
        </w:rPr>
        <w:t>不如实提供事故预防服务相关业务数据或档案资料的；</w:t>
      </w:r>
    </w:p>
    <w:p w14:paraId="429A08DC">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（七）</w:t>
      </w:r>
      <w:r>
        <w:rPr>
          <w:rFonts w:hint="eastAsia" w:ascii="仿宋_GB2312" w:hAnsi="仿宋_GB2312" w:eastAsia="仿宋_GB2312" w:cs="仿宋_GB2312"/>
          <w:color w:val="auto"/>
          <w:sz w:val="32"/>
          <w:szCs w:val="32"/>
          <w:highlight w:val="none"/>
        </w:rPr>
        <w:t>不按要求使用个人安全防护用品的；</w:t>
      </w:r>
    </w:p>
    <w:p w14:paraId="34F8B1A1">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（八）</w:t>
      </w:r>
      <w:r>
        <w:rPr>
          <w:rFonts w:hint="eastAsia" w:ascii="仿宋_GB2312" w:hAnsi="仿宋_GB2312" w:eastAsia="仿宋_GB2312" w:cs="仿宋_GB2312"/>
          <w:color w:val="auto"/>
          <w:sz w:val="32"/>
          <w:szCs w:val="32"/>
          <w:highlight w:val="none"/>
        </w:rPr>
        <w:t>开支不合理、提供虚假票据的；</w:t>
      </w:r>
    </w:p>
    <w:p w14:paraId="513F691B">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lef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（九）</w:t>
      </w:r>
      <w:r>
        <w:rPr>
          <w:rFonts w:hint="eastAsia" w:ascii="仿宋_GB2312" w:hAnsi="仿宋_GB2312" w:eastAsia="仿宋_GB2312" w:cs="仿宋_GB2312"/>
          <w:color w:val="auto"/>
          <w:sz w:val="32"/>
          <w:szCs w:val="32"/>
          <w:highlight w:val="none"/>
        </w:rPr>
        <w:t>违反相关法律、行政法规的其他情形的。</w:t>
      </w:r>
    </w:p>
    <w:p w14:paraId="59F60A84">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各</w:t>
      </w:r>
      <w:r>
        <w:rPr>
          <w:rFonts w:hint="eastAsia" w:ascii="仿宋_GB2312" w:hAnsi="仿宋_GB2312" w:eastAsia="仿宋_GB2312" w:cs="仿宋_GB2312"/>
          <w:color w:val="auto"/>
          <w:sz w:val="32"/>
          <w:szCs w:val="32"/>
          <w:highlight w:val="none"/>
        </w:rPr>
        <w:t>级应急管理部门、</w:t>
      </w:r>
      <w:r>
        <w:rPr>
          <w:rFonts w:hint="eastAsia" w:ascii="仿宋_GB2312" w:hAnsi="仿宋_GB2312" w:eastAsia="仿宋_GB2312" w:cs="仿宋_GB2312"/>
          <w:color w:val="auto"/>
          <w:sz w:val="32"/>
          <w:szCs w:val="32"/>
          <w:highlight w:val="none"/>
          <w:lang w:eastAsia="zh-CN"/>
        </w:rPr>
        <w:t>金融监管部门</w:t>
      </w:r>
      <w:r>
        <w:rPr>
          <w:rFonts w:hint="eastAsia" w:ascii="仿宋_GB2312" w:hAnsi="仿宋_GB2312" w:eastAsia="仿宋_GB2312" w:cs="仿宋_GB2312"/>
          <w:color w:val="auto"/>
          <w:sz w:val="32"/>
          <w:szCs w:val="32"/>
          <w:highlight w:val="none"/>
        </w:rPr>
        <w:t>和相关行业主管部门应当依据工作职责依法对生产经营单位、保险机构和安全生产技术服务机构进行监督管理，</w:t>
      </w:r>
      <w:r>
        <w:rPr>
          <w:rFonts w:ascii="仿宋_GB2312" w:hAnsi="仿宋_GB2312" w:eastAsia="仿宋_GB2312" w:cs="仿宋_GB2312"/>
          <w:color w:val="auto"/>
          <w:sz w:val="32"/>
          <w:szCs w:val="32"/>
          <w:highlight w:val="none"/>
        </w:rPr>
        <w:t>将</w:t>
      </w:r>
      <w:r>
        <w:rPr>
          <w:rFonts w:hint="eastAsia" w:ascii="仿宋_GB2312" w:hAnsi="仿宋_GB2312" w:eastAsia="仿宋_GB2312" w:cs="仿宋_GB2312"/>
          <w:color w:val="auto"/>
          <w:sz w:val="32"/>
          <w:szCs w:val="32"/>
          <w:highlight w:val="none"/>
        </w:rPr>
        <w:t>高危行业、领域</w:t>
      </w:r>
      <w:r>
        <w:rPr>
          <w:rFonts w:ascii="仿宋_GB2312" w:hAnsi="仿宋_GB2312" w:eastAsia="仿宋_GB2312" w:cs="仿宋_GB2312"/>
          <w:color w:val="auto"/>
          <w:sz w:val="32"/>
          <w:szCs w:val="32"/>
          <w:highlight w:val="none"/>
        </w:rPr>
        <w:t>单位投保安责险的情况纳入</w:t>
      </w:r>
      <w:r>
        <w:rPr>
          <w:rFonts w:hint="eastAsia" w:ascii="仿宋_GB2312" w:hAnsi="仿宋_GB2312" w:eastAsia="仿宋_GB2312" w:cs="仿宋_GB2312"/>
          <w:color w:val="auto"/>
          <w:sz w:val="32"/>
          <w:szCs w:val="32"/>
          <w:highlight w:val="none"/>
        </w:rPr>
        <w:t>本行业、领域</w:t>
      </w:r>
      <w:r>
        <w:rPr>
          <w:rFonts w:ascii="仿宋_GB2312" w:hAnsi="仿宋_GB2312" w:eastAsia="仿宋_GB2312" w:cs="仿宋_GB2312"/>
          <w:color w:val="auto"/>
          <w:sz w:val="32"/>
          <w:szCs w:val="32"/>
          <w:highlight w:val="none"/>
        </w:rPr>
        <w:t>安全生产执法检查的重要内容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对安责险实施情况开展监督检查，定期通报高危行业、领域安责险投保及安全隐患整改、保险机构承保理赔和事故预防服务投入、安全生产技术服务机构开展事故预防服务等情况</w:t>
      </w:r>
      <w:r>
        <w:rPr>
          <w:rFonts w:hint="eastAsia" w:ascii="仿宋_GB2312" w:hAnsi="仿宋_GB2312" w:eastAsia="仿宋_GB2312" w:cs="仿宋_GB2312"/>
          <w:color w:val="auto"/>
          <w:sz w:val="32"/>
          <w:szCs w:val="32"/>
          <w:highlight w:val="none"/>
          <w:lang w:eastAsia="zh-CN"/>
        </w:rPr>
        <w:t>。</w:t>
      </w:r>
    </w:p>
    <w:p w14:paraId="571382E9">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自治区应急管理厅应当优化完善</w:t>
      </w:r>
      <w:r>
        <w:rPr>
          <w:rFonts w:hint="eastAsia" w:ascii="仿宋_GB2312" w:hAnsi="仿宋_GB2312" w:eastAsia="仿宋_GB2312" w:cs="仿宋_GB2312"/>
          <w:color w:val="auto"/>
          <w:sz w:val="32"/>
          <w:szCs w:val="32"/>
          <w:highlight w:val="none"/>
          <w:lang w:eastAsia="zh-CN"/>
        </w:rPr>
        <w:t>自治区安责险信息管理系统</w:t>
      </w:r>
      <w:r>
        <w:rPr>
          <w:rFonts w:ascii="仿宋_GB2312" w:hAnsi="仿宋_GB2312" w:eastAsia="仿宋_GB2312" w:cs="仿宋_GB2312"/>
          <w:color w:val="auto"/>
          <w:sz w:val="32"/>
          <w:szCs w:val="32"/>
          <w:highlight w:val="none"/>
        </w:rPr>
        <w:t>，并与国家系统对接，及时采集保险机构事故预防服务信息，强化事故预防费用使用监测功能，加强对安责险制度实施情况的全过程管理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合理分配自治区安责险信息管理系统相关权限，支持金融监管部门、自治区相关行业主管部门、保险机构、安全生产技术服务机构、运营服务机构、被保险人的业务协同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保险机构业务系统应当与</w:t>
      </w: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安责险信息管理系统进行对接，提供安责险相关业务数据信息。</w:t>
      </w:r>
    </w:p>
    <w:p w14:paraId="70DD3939">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应急管理</w:t>
      </w:r>
      <w:r>
        <w:rPr>
          <w:rFonts w:hint="eastAsia" w:ascii="仿宋_GB2312" w:hAnsi="仿宋_GB2312" w:eastAsia="仿宋_GB2312" w:cs="仿宋_GB2312"/>
          <w:color w:val="auto"/>
          <w:sz w:val="32"/>
          <w:szCs w:val="32"/>
          <w:highlight w:val="none"/>
          <w:lang w:val="en-US" w:eastAsia="zh-CN"/>
        </w:rPr>
        <w:t>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相关行业主管部门和</w:t>
      </w:r>
      <w:r>
        <w:rPr>
          <w:rFonts w:hint="eastAsia" w:ascii="仿宋_GB2312" w:hAnsi="仿宋_GB2312" w:eastAsia="仿宋_GB2312" w:cs="仿宋_GB2312"/>
          <w:color w:val="auto"/>
          <w:sz w:val="32"/>
          <w:szCs w:val="32"/>
          <w:highlight w:val="none"/>
          <w:lang w:val="en-US" w:eastAsia="zh-CN"/>
        </w:rPr>
        <w:t>金融监管部门</w:t>
      </w:r>
      <w:r>
        <w:rPr>
          <w:rFonts w:hint="eastAsia" w:ascii="仿宋_GB2312" w:hAnsi="仿宋_GB2312" w:eastAsia="仿宋_GB2312" w:cs="仿宋_GB2312"/>
          <w:color w:val="auto"/>
          <w:sz w:val="32"/>
          <w:szCs w:val="32"/>
          <w:highlight w:val="none"/>
        </w:rPr>
        <w:t>应当建立安责险信息共享机制，依托</w:t>
      </w:r>
      <w:r>
        <w:rPr>
          <w:rFonts w:hint="eastAsia" w:ascii="仿宋_GB2312" w:hAnsi="仿宋_GB2312" w:eastAsia="仿宋_GB2312" w:cs="仿宋_GB2312"/>
          <w:color w:val="auto"/>
          <w:sz w:val="32"/>
          <w:szCs w:val="32"/>
          <w:highlight w:val="none"/>
          <w:lang w:val="en-US" w:eastAsia="zh-CN"/>
        </w:rPr>
        <w:t>自治区</w:t>
      </w:r>
      <w:r>
        <w:rPr>
          <w:rFonts w:hint="eastAsia" w:ascii="仿宋_GB2312" w:hAnsi="仿宋_GB2312" w:eastAsia="仿宋_GB2312" w:cs="仿宋_GB2312"/>
          <w:color w:val="auto"/>
          <w:sz w:val="32"/>
          <w:szCs w:val="32"/>
          <w:highlight w:val="none"/>
        </w:rPr>
        <w:t>信息资源统一共享交换平台对生产经营单位的基础信息、安全生产技术服务机构信息、保险机构承保赔款信息、事故预防服务信息、事故预防服务支出信息等进行数据交互共享。</w:t>
      </w:r>
    </w:p>
    <w:p w14:paraId="323B351E">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通过政府购买服务方式参与事故预防服务管理工作的社会组织、企事业单位等机构，不得以应急管理部门或者相关部门名义违规干预安责险市场经营活动，不得</w:t>
      </w:r>
      <w:r>
        <w:rPr>
          <w:rFonts w:hint="eastAsia" w:ascii="仿宋_GB2312" w:hAnsi="仿宋_GB2312" w:eastAsia="仿宋_GB2312" w:cs="仿宋_GB2312"/>
          <w:color w:val="auto"/>
          <w:sz w:val="32"/>
          <w:szCs w:val="32"/>
          <w:highlight w:val="none"/>
        </w:rPr>
        <w:t>以任何方式</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任何理由</w:t>
      </w:r>
      <w:r>
        <w:rPr>
          <w:rFonts w:hint="eastAsia" w:ascii="仿宋_GB2312" w:hAnsi="仿宋_GB2312" w:eastAsia="仿宋_GB2312" w:cs="仿宋_GB2312"/>
          <w:color w:val="auto"/>
          <w:sz w:val="32"/>
          <w:szCs w:val="32"/>
          <w:highlight w:val="none"/>
        </w:rPr>
        <w:t>介入</w:t>
      </w:r>
      <w:r>
        <w:rPr>
          <w:rFonts w:ascii="仿宋_GB2312" w:hAnsi="仿宋_GB2312" w:eastAsia="仿宋_GB2312" w:cs="仿宋_GB2312"/>
          <w:color w:val="auto"/>
          <w:sz w:val="32"/>
          <w:szCs w:val="32"/>
          <w:highlight w:val="none"/>
          <w:u w:val="none"/>
        </w:rPr>
        <w:t>生产经营单位</w:t>
      </w:r>
      <w:r>
        <w:rPr>
          <w:rFonts w:ascii="仿宋_GB2312" w:hAnsi="仿宋_GB2312" w:eastAsia="仿宋_GB2312" w:cs="仿宋_GB2312"/>
          <w:color w:val="auto"/>
          <w:sz w:val="32"/>
          <w:szCs w:val="32"/>
          <w:highlight w:val="none"/>
          <w:u w:val="none"/>
          <w:lang w:val="en-US" w:eastAsia="zh-CN"/>
        </w:rPr>
        <w:t>安责险</w:t>
      </w:r>
      <w:r>
        <w:rPr>
          <w:rFonts w:ascii="仿宋_GB2312" w:hAnsi="仿宋_GB2312" w:eastAsia="仿宋_GB2312" w:cs="仿宋_GB2312"/>
          <w:color w:val="auto"/>
          <w:sz w:val="32"/>
          <w:szCs w:val="32"/>
          <w:highlight w:val="none"/>
          <w:u w:val="none"/>
        </w:rPr>
        <w:t>保险</w:t>
      </w:r>
      <w:r>
        <w:rPr>
          <w:rFonts w:hint="eastAsia" w:ascii="仿宋_GB2312" w:hAnsi="仿宋_GB2312" w:eastAsia="仿宋_GB2312" w:cs="仿宋_GB2312"/>
          <w:color w:val="auto"/>
          <w:sz w:val="32"/>
          <w:szCs w:val="32"/>
          <w:highlight w:val="none"/>
          <w:u w:val="none"/>
          <w:lang w:val="en-US" w:eastAsia="zh-CN"/>
        </w:rPr>
        <w:t>事务</w:t>
      </w:r>
      <w:r>
        <w:rPr>
          <w:rFonts w:ascii="仿宋_GB2312" w:hAnsi="仿宋_GB2312" w:eastAsia="仿宋_GB2312" w:cs="仿宋_GB2312"/>
          <w:color w:val="auto"/>
          <w:sz w:val="32"/>
          <w:szCs w:val="32"/>
          <w:highlight w:val="none"/>
        </w:rPr>
        <w:t>。</w:t>
      </w:r>
    </w:p>
    <w:p w14:paraId="38451AAA">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各级应急管理部门、</w:t>
      </w:r>
      <w:r>
        <w:rPr>
          <w:rFonts w:hint="eastAsia" w:ascii="仿宋_GB2312" w:hAnsi="仿宋_GB2312" w:eastAsia="仿宋_GB2312" w:cs="仿宋_GB2312"/>
          <w:color w:val="auto"/>
          <w:sz w:val="32"/>
          <w:szCs w:val="32"/>
          <w:highlight w:val="none"/>
          <w:lang w:val="en-US" w:eastAsia="zh-CN"/>
        </w:rPr>
        <w:t>相关</w:t>
      </w:r>
      <w:r>
        <w:rPr>
          <w:rFonts w:ascii="仿宋_GB2312" w:hAnsi="仿宋_GB2312" w:eastAsia="仿宋_GB2312" w:cs="仿宋_GB2312"/>
          <w:color w:val="auto"/>
          <w:sz w:val="32"/>
          <w:szCs w:val="32"/>
          <w:highlight w:val="none"/>
        </w:rPr>
        <w:t>行业主管部门</w:t>
      </w:r>
      <w:r>
        <w:rPr>
          <w:rFonts w:ascii="仿宋_GB2312" w:hAnsi="仿宋_GB2312" w:eastAsia="仿宋_GB2312" w:cs="仿宋_GB2312"/>
          <w:color w:val="auto"/>
          <w:sz w:val="32"/>
          <w:szCs w:val="32"/>
          <w:highlight w:val="none"/>
          <w:lang w:val="en-US" w:eastAsia="zh-CN"/>
        </w:rPr>
        <w:t>和金融监管部门</w:t>
      </w:r>
      <w:r>
        <w:rPr>
          <w:rFonts w:ascii="仿宋_GB2312" w:hAnsi="仿宋_GB2312" w:eastAsia="仿宋_GB2312" w:cs="仿宋_GB2312"/>
          <w:color w:val="auto"/>
          <w:sz w:val="32"/>
          <w:szCs w:val="32"/>
          <w:highlight w:val="none"/>
        </w:rPr>
        <w:t>应当将安责险制度的宣传工作纳入本地区、本部门重点宣传内容</w:t>
      </w:r>
      <w:r>
        <w:rPr>
          <w:rFonts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充分利用</w:t>
      </w:r>
      <w:r>
        <w:rPr>
          <w:rFonts w:ascii="仿宋_GB2312" w:hAnsi="仿宋_GB2312" w:eastAsia="仿宋_GB2312" w:cs="仿宋_GB2312"/>
          <w:color w:val="auto"/>
          <w:sz w:val="32"/>
          <w:szCs w:val="32"/>
          <w:highlight w:val="none"/>
          <w:lang w:val="en-US" w:eastAsia="zh-CN"/>
        </w:rPr>
        <w:t>官方媒体和</w:t>
      </w:r>
      <w:r>
        <w:rPr>
          <w:rFonts w:ascii="仿宋_GB2312" w:hAnsi="仿宋_GB2312" w:eastAsia="仿宋_GB2312" w:cs="仿宋_GB2312"/>
          <w:color w:val="auto"/>
          <w:sz w:val="32"/>
          <w:szCs w:val="32"/>
          <w:highlight w:val="none"/>
        </w:rPr>
        <w:t>微信、微博、抖音等</w:t>
      </w:r>
      <w:r>
        <w:rPr>
          <w:rFonts w:hint="eastAsia" w:ascii="仿宋_GB2312" w:hAnsi="仿宋_GB2312" w:eastAsia="仿宋_GB2312" w:cs="仿宋_GB2312"/>
          <w:color w:val="auto"/>
          <w:sz w:val="32"/>
          <w:szCs w:val="32"/>
          <w:highlight w:val="none"/>
        </w:rPr>
        <w:t>各类媒介广泛宣传安责险法律法规、政策要求和保障功能</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通过安全生产</w:t>
      </w:r>
      <w:r>
        <w:rPr>
          <w:rFonts w:ascii="仿宋_GB2312" w:hAnsi="仿宋_GB2312" w:eastAsia="仿宋_GB2312" w:cs="仿宋_GB2312"/>
          <w:color w:val="auto"/>
          <w:sz w:val="32"/>
          <w:szCs w:val="32"/>
          <w:highlight w:val="none"/>
          <w:lang w:val="en-US" w:eastAsia="zh-CN"/>
        </w:rPr>
        <w:t>综合</w:t>
      </w:r>
      <w:r>
        <w:rPr>
          <w:rFonts w:ascii="仿宋_GB2312" w:hAnsi="仿宋_GB2312" w:eastAsia="仿宋_GB2312" w:cs="仿宋_GB2312"/>
          <w:color w:val="auto"/>
          <w:sz w:val="32"/>
          <w:szCs w:val="32"/>
          <w:highlight w:val="none"/>
        </w:rPr>
        <w:t>检查、安全生产专项整治、安全生产月等</w:t>
      </w:r>
      <w:r>
        <w:rPr>
          <w:rFonts w:hint="eastAsia" w:ascii="仿宋_GB2312" w:hAnsi="仿宋_GB2312" w:eastAsia="仿宋_GB2312" w:cs="仿宋_GB2312"/>
          <w:color w:val="auto"/>
          <w:sz w:val="32"/>
          <w:szCs w:val="32"/>
          <w:highlight w:val="none"/>
        </w:rPr>
        <w:t>相关安全生产宣教活动，协力推进法规政策落地落实，引领安责险规范发展。</w:t>
      </w:r>
    </w:p>
    <w:p w14:paraId="1CE650B4">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各级应急管理部门、相关行业主管部门和金融监管部门及时总结本地区、本行业、本领域安责险实施中的典型案例和先进经验，重点推广事故预防服务中的有效做法，发挥示范带动作用，引导投保单位主动落实安全生产主体责任，积极配合安责险投保和事故预防服务工作，推动安责险工作规范、有序、健康发展。</w:t>
      </w:r>
    </w:p>
    <w:p w14:paraId="2A5F4F7B">
      <w:pPr>
        <w:keepNext w:val="0"/>
        <w:keepLines w:val="0"/>
        <w:pageBreakBefore w:val="0"/>
        <w:widowControl w:val="0"/>
        <w:numPr>
          <w:ilvl w:val="0"/>
          <w:numId w:val="0"/>
        </w:numPr>
        <w:tabs>
          <w:tab w:val="left" w:pos="0"/>
        </w:tabs>
        <w:suppressAutoHyphens/>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rPr>
        <w:t>保险机构应当加大安责险宣传资源投入，针对不同的宣传对象定期推送安责险工作动态、典型事故案例等内容，树立安责险的品牌影响力。</w:t>
      </w:r>
    </w:p>
    <w:p w14:paraId="1898C0A1">
      <w:pPr>
        <w:keepNext/>
        <w:keepLines/>
        <w:pageBreakBefore w:val="0"/>
        <w:widowControl w:val="0"/>
        <w:kinsoku/>
        <w:wordWrap/>
        <w:overflowPunct/>
        <w:topLinePunct w:val="0"/>
        <w:autoSpaceDE/>
        <w:autoSpaceDN/>
        <w:bidi w:val="0"/>
        <w:adjustRightInd/>
        <w:snapToGrid/>
        <w:spacing w:before="50" w:beforeLines="50" w:after="50" w:afterLines="50" w:line="560" w:lineRule="exact"/>
        <w:ind w:firstLine="640" w:firstLineChars="200"/>
        <w:jc w:val="center"/>
        <w:textAlignment w:val="auto"/>
        <w:outlineLvl w:val="1"/>
        <w:rPr>
          <w:rFonts w:ascii="Arial" w:hAnsi="Arial" w:eastAsia="黑体" w:cs="Times New Roman"/>
          <w:bCs/>
          <w:kern w:val="2"/>
          <w:sz w:val="32"/>
          <w:szCs w:val="32"/>
          <w:highlight w:val="none"/>
          <w:lang w:val="en-US" w:eastAsia="zh-CN" w:bidi="ar-SA"/>
        </w:rPr>
      </w:pPr>
      <w:r>
        <w:rPr>
          <w:rFonts w:ascii="Arial" w:hAnsi="Arial" w:eastAsia="黑体" w:cs="Times New Roman"/>
          <w:bCs/>
          <w:kern w:val="2"/>
          <w:sz w:val="32"/>
          <w:szCs w:val="32"/>
          <w:highlight w:val="none"/>
          <w:lang w:val="en-US" w:eastAsia="zh-CN" w:bidi="ar-SA"/>
        </w:rPr>
        <w:t>第六章 附则</w:t>
      </w:r>
    </w:p>
    <w:p w14:paraId="3196F91A">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本细则所使用下列用语的含义</w:t>
      </w:r>
      <w:r>
        <w:rPr>
          <w:rFonts w:hint="eastAsia" w:ascii="仿宋_GB2312" w:hAnsi="仿宋_GB2312" w:eastAsia="仿宋_GB2312" w:cs="仿宋_GB2312"/>
          <w:color w:val="auto"/>
          <w:sz w:val="32"/>
          <w:szCs w:val="32"/>
          <w:highlight w:val="none"/>
          <w:lang w:eastAsia="zh-CN"/>
        </w:rPr>
        <w:t>如下</w:t>
      </w:r>
      <w:r>
        <w:rPr>
          <w:rFonts w:hint="eastAsia" w:ascii="仿宋_GB2312" w:hAnsi="仿宋_GB2312" w:eastAsia="仿宋_GB2312" w:cs="仿宋_GB2312"/>
          <w:color w:val="auto"/>
          <w:sz w:val="32"/>
          <w:szCs w:val="32"/>
          <w:highlight w:val="none"/>
        </w:rPr>
        <w:t>：</w:t>
      </w:r>
    </w:p>
    <w:p w14:paraId="45A4E500">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被保险人是指被保险的法人企业、非法人组织（合伙、分公司等）以及个体工商户等生产经营单位。</w:t>
      </w:r>
    </w:p>
    <w:p w14:paraId="01FAA2C9">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从业人员是指被保险人的员工、临时聘用人员和被派遣劳动者等有用工关系的人员，第三者是指除前述从业人员以外的人员。</w:t>
      </w:r>
    </w:p>
    <w:p w14:paraId="1FD523E0">
      <w:pPr>
        <w:keepNext w:val="0"/>
        <w:keepLines w:val="0"/>
        <w:pageBreakBefore w:val="0"/>
        <w:widowControl w:val="0"/>
        <w:numPr>
          <w:ilvl w:val="-1"/>
          <w:numId w:val="0"/>
        </w:numPr>
        <w:tabs>
          <w:tab w:val="left" w:pos="0"/>
        </w:tabs>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trike w:val="0"/>
          <w:color w:val="auto"/>
          <w:sz w:val="32"/>
          <w:szCs w:val="32"/>
          <w:highlight w:val="none"/>
        </w:rPr>
      </w:pPr>
      <w:r>
        <w:rPr>
          <w:rFonts w:hint="eastAsia" w:ascii="仿宋_GB2312" w:hAnsi="仿宋_GB2312" w:eastAsia="仿宋_GB2312" w:cs="仿宋_GB2312"/>
          <w:color w:val="auto"/>
          <w:sz w:val="32"/>
          <w:szCs w:val="32"/>
          <w:highlight w:val="none"/>
        </w:rPr>
        <w:t>事故预防服务是指保险机构投资或委托技术服务机构，为被保险人降低安全风险和减少生产安全事故所开展的安全生产专业技术活动。</w:t>
      </w:r>
    </w:p>
    <w:p w14:paraId="25C81D10">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strike w:val="0"/>
          <w:color w:val="auto"/>
          <w:sz w:val="32"/>
          <w:szCs w:val="32"/>
          <w:highlight w:val="none"/>
        </w:rPr>
      </w:pPr>
      <w:r>
        <w:rPr>
          <w:rFonts w:ascii="仿宋_GB2312" w:hAnsi="仿宋_GB2312" w:eastAsia="仿宋_GB2312" w:cs="仿宋_GB2312"/>
          <w:strike w:val="0"/>
          <w:color w:val="auto"/>
          <w:sz w:val="32"/>
          <w:szCs w:val="32"/>
          <w:highlight w:val="none"/>
        </w:rPr>
        <w:t>本</w:t>
      </w:r>
      <w:r>
        <w:rPr>
          <w:rFonts w:hint="eastAsia" w:ascii="仿宋_GB2312" w:hAnsi="仿宋_GB2312" w:eastAsia="仿宋_GB2312" w:cs="仿宋_GB2312"/>
          <w:strike w:val="0"/>
          <w:color w:val="auto"/>
          <w:sz w:val="32"/>
          <w:szCs w:val="32"/>
          <w:highlight w:val="none"/>
          <w:lang w:val="en-US" w:eastAsia="zh-CN"/>
        </w:rPr>
        <w:t>细则</w:t>
      </w:r>
      <w:r>
        <w:rPr>
          <w:rFonts w:ascii="仿宋_GB2312" w:hAnsi="仿宋_GB2312" w:eastAsia="仿宋_GB2312" w:cs="仿宋_GB2312"/>
          <w:strike w:val="0"/>
          <w:color w:val="auto"/>
          <w:sz w:val="32"/>
          <w:szCs w:val="32"/>
          <w:highlight w:val="none"/>
        </w:rPr>
        <w:t>由自治区应急管理厅、自治区财政厅、新疆金融监管局和自治区相关行业主管部门负责解释。</w:t>
      </w:r>
    </w:p>
    <w:p w14:paraId="4816612C">
      <w:pPr>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left="0" w:leftChars="0" w:firstLine="640" w:firstLineChars="200"/>
        <w:jc w:val="both"/>
        <w:textAlignment w:val="auto"/>
        <w:rPr>
          <w:rFonts w:ascii="Times New Roman" w:hAnsi="Times New Roman" w:eastAsia="仿宋_GB2312" w:cs="Times New Roman"/>
          <w:color w:val="auto"/>
          <w:spacing w:val="-11"/>
          <w:sz w:val="28"/>
          <w:szCs w:val="28"/>
          <w:highlight w:val="none"/>
          <w:lang w:val="en-US" w:eastAsia="zh-CN"/>
        </w:rPr>
      </w:pPr>
      <w:r>
        <w:rPr>
          <w:rFonts w:ascii="仿宋_GB2312" w:hAnsi="仿宋_GB2312" w:eastAsia="仿宋_GB2312" w:cs="仿宋_GB2312"/>
          <w:strike w:val="0"/>
          <w:color w:val="auto"/>
          <w:sz w:val="32"/>
          <w:szCs w:val="32"/>
          <w:highlight w:val="none"/>
        </w:rPr>
        <w:t>本</w:t>
      </w:r>
      <w:r>
        <w:rPr>
          <w:rFonts w:hint="eastAsia" w:ascii="仿宋_GB2312" w:hAnsi="仿宋_GB2312" w:eastAsia="仿宋_GB2312" w:cs="仿宋_GB2312"/>
          <w:strike w:val="0"/>
          <w:color w:val="auto"/>
          <w:sz w:val="32"/>
          <w:szCs w:val="32"/>
          <w:highlight w:val="none"/>
          <w:lang w:val="en-US" w:eastAsia="zh-CN"/>
        </w:rPr>
        <w:t>细则</w:t>
      </w:r>
      <w:r>
        <w:rPr>
          <w:rFonts w:ascii="仿宋_GB2312" w:hAnsi="仿宋_GB2312" w:eastAsia="仿宋_GB2312" w:cs="仿宋_GB2312"/>
          <w:strike w:val="0"/>
          <w:color w:val="auto"/>
          <w:sz w:val="32"/>
          <w:szCs w:val="32"/>
          <w:highlight w:val="none"/>
        </w:rPr>
        <w:t>自发布之日起施行。</w:t>
      </w:r>
    </w:p>
    <w:p w14:paraId="59C38B0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bookmarkStart w:id="0" w:name="_GoBack"/>
      <w:bookmarkEnd w:id="0"/>
    </w:p>
    <w:sectPr>
      <w:footerReference r:id="rId5" w:type="default"/>
      <w:pgSz w:w="11906" w:h="16838"/>
      <w:pgMar w:top="2098" w:right="1531" w:bottom="1984" w:left="1531"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06AEB8B-EDAE-499B-A8A8-8EEF52F5EBF6}"/>
  </w:font>
  <w:font w:name="黑体">
    <w:panose1 w:val="02010609060101010101"/>
    <w:charset w:val="86"/>
    <w:family w:val="auto"/>
    <w:pitch w:val="default"/>
    <w:sig w:usb0="800002BF" w:usb1="38CF7CFA" w:usb2="00000016" w:usb3="00000000" w:csb0="00040001" w:csb1="00000000"/>
    <w:embedRegular r:id="rId2" w:fontKey="{BFB8F4AB-8528-41DE-A136-D5DDB32EF2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6734D731-D89F-481A-8911-5907AB1330C5}"/>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92EB3222-5720-46BF-A4D4-6D8A65FDD90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B2EC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E5E31">
                          <w:pPr>
                            <w:pStyle w:val="6"/>
                            <w:rPr>
                              <w:rFonts w:hint="eastAsia"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0E5E31">
                    <w:pPr>
                      <w:pStyle w:val="6"/>
                      <w:rPr>
                        <w:rFonts w:hint="eastAsia"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12" w:lineRule="auto"/>
      </w:pPr>
      <w:r>
        <w:separator/>
      </w:r>
    </w:p>
  </w:footnote>
  <w:footnote w:type="continuationSeparator" w:id="1">
    <w:p>
      <w:pPr>
        <w:spacing w:line="31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543142"/>
    <w:multiLevelType w:val="singleLevel"/>
    <w:tmpl w:val="8C543142"/>
    <w:lvl w:ilvl="0" w:tentative="0">
      <w:start w:val="1"/>
      <w:numFmt w:val="chineseCounting"/>
      <w:suff w:val="space"/>
      <w:lvlText w:val="第%1条"/>
      <w:lvlJc w:val="left"/>
      <w:pPr>
        <w:tabs>
          <w:tab w:val="left" w:pos="0"/>
        </w:tabs>
        <w:ind w:left="0" w:firstLine="0"/>
      </w:pPr>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5B81"/>
    <w:rsid w:val="009F079C"/>
    <w:rsid w:val="02F44D08"/>
    <w:rsid w:val="04A62A1C"/>
    <w:rsid w:val="057B6305"/>
    <w:rsid w:val="0930241E"/>
    <w:rsid w:val="0B0A4D29"/>
    <w:rsid w:val="0FED4603"/>
    <w:rsid w:val="13C24CE7"/>
    <w:rsid w:val="146E75B7"/>
    <w:rsid w:val="149A59CD"/>
    <w:rsid w:val="16637246"/>
    <w:rsid w:val="169E66FE"/>
    <w:rsid w:val="16D82BB4"/>
    <w:rsid w:val="17734E75"/>
    <w:rsid w:val="17D160FA"/>
    <w:rsid w:val="17E05DED"/>
    <w:rsid w:val="18BD4A98"/>
    <w:rsid w:val="1C760ACE"/>
    <w:rsid w:val="1DAD485B"/>
    <w:rsid w:val="1DCD0BC2"/>
    <w:rsid w:val="1E2E78B2"/>
    <w:rsid w:val="25F4252D"/>
    <w:rsid w:val="26E40D02"/>
    <w:rsid w:val="2A7F3B9A"/>
    <w:rsid w:val="2BD01478"/>
    <w:rsid w:val="2BE5357A"/>
    <w:rsid w:val="2D7828F8"/>
    <w:rsid w:val="2DD072B5"/>
    <w:rsid w:val="2E20073A"/>
    <w:rsid w:val="30163561"/>
    <w:rsid w:val="32620142"/>
    <w:rsid w:val="335E1684"/>
    <w:rsid w:val="34074D1F"/>
    <w:rsid w:val="347F362A"/>
    <w:rsid w:val="35C8565E"/>
    <w:rsid w:val="37EA7EAA"/>
    <w:rsid w:val="37EF4C51"/>
    <w:rsid w:val="37FC2378"/>
    <w:rsid w:val="389B6274"/>
    <w:rsid w:val="3BF16F66"/>
    <w:rsid w:val="3D4A69A7"/>
    <w:rsid w:val="3FE05D36"/>
    <w:rsid w:val="3FFB5471"/>
    <w:rsid w:val="40E345BE"/>
    <w:rsid w:val="41C366B1"/>
    <w:rsid w:val="438D0328"/>
    <w:rsid w:val="43E358E8"/>
    <w:rsid w:val="44CB372C"/>
    <w:rsid w:val="464F618E"/>
    <w:rsid w:val="47ED3A8B"/>
    <w:rsid w:val="48790A11"/>
    <w:rsid w:val="48E7672C"/>
    <w:rsid w:val="4B937F16"/>
    <w:rsid w:val="4BA8498D"/>
    <w:rsid w:val="4BE96317"/>
    <w:rsid w:val="4CA24E44"/>
    <w:rsid w:val="4E434405"/>
    <w:rsid w:val="53F13DF7"/>
    <w:rsid w:val="54134879"/>
    <w:rsid w:val="563B5398"/>
    <w:rsid w:val="568F67A6"/>
    <w:rsid w:val="57946598"/>
    <w:rsid w:val="5A2264EB"/>
    <w:rsid w:val="5A7A6A7D"/>
    <w:rsid w:val="5A9313C7"/>
    <w:rsid w:val="5AD12DCE"/>
    <w:rsid w:val="5B500CF2"/>
    <w:rsid w:val="5E8F0733"/>
    <w:rsid w:val="601866E9"/>
    <w:rsid w:val="60A54AAB"/>
    <w:rsid w:val="617B3513"/>
    <w:rsid w:val="61B437FF"/>
    <w:rsid w:val="62C531E2"/>
    <w:rsid w:val="652061F2"/>
    <w:rsid w:val="65FC6F1B"/>
    <w:rsid w:val="67C34C4B"/>
    <w:rsid w:val="6828049B"/>
    <w:rsid w:val="6910440E"/>
    <w:rsid w:val="69B06B95"/>
    <w:rsid w:val="6A9942A3"/>
    <w:rsid w:val="6D65499E"/>
    <w:rsid w:val="6F6BB81B"/>
    <w:rsid w:val="70B04B0B"/>
    <w:rsid w:val="727B4EBF"/>
    <w:rsid w:val="74E26C97"/>
    <w:rsid w:val="75276BDA"/>
    <w:rsid w:val="76FE4AD3"/>
    <w:rsid w:val="7753269B"/>
    <w:rsid w:val="779C40BA"/>
    <w:rsid w:val="7AC3001F"/>
    <w:rsid w:val="7C705B15"/>
    <w:rsid w:val="7D69A2DA"/>
    <w:rsid w:val="7E6764D9"/>
    <w:rsid w:val="97FD9183"/>
    <w:rsid w:val="9FBED173"/>
    <w:rsid w:val="B3EDC377"/>
    <w:rsid w:val="B9DFFD24"/>
    <w:rsid w:val="C6BC160C"/>
    <w:rsid w:val="DFBDDBFF"/>
    <w:rsid w:val="EF710F68"/>
    <w:rsid w:val="FD3E43AB"/>
    <w:rsid w:val="FE6F9773"/>
    <w:rsid w:val="FFD6D42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12" w:lineRule="auto"/>
      <w:ind w:firstLine="0" w:firstLineChars="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0"/>
    <w:pPr>
      <w:widowControl/>
      <w:spacing w:before="50" w:beforeLines="50" w:after="50" w:afterLines="50" w:line="480" w:lineRule="auto"/>
      <w:jc w:val="center"/>
      <w:outlineLvl w:val="0"/>
    </w:pPr>
    <w:rPr>
      <w:rFonts w:ascii="宋体" w:hAnsi="宋体" w:eastAsia="黑体" w:cs="宋体"/>
      <w:color w:val="000000" w:themeColor="text1"/>
      <w:kern w:val="36"/>
      <w:sz w:val="36"/>
      <w:szCs w:val="48"/>
      <w14:textFill>
        <w14:solidFill>
          <w14:schemeClr w14:val="tx1"/>
        </w14:solidFill>
      </w14:textFill>
    </w:rPr>
  </w:style>
  <w:style w:type="paragraph" w:styleId="3">
    <w:name w:val="heading 2"/>
    <w:basedOn w:val="1"/>
    <w:next w:val="1"/>
    <w:autoRedefine/>
    <w:semiHidden/>
    <w:unhideWhenUsed/>
    <w:qFormat/>
    <w:uiPriority w:val="0"/>
    <w:pPr>
      <w:keepNext/>
      <w:keepLines/>
      <w:autoSpaceDE w:val="0"/>
      <w:autoSpaceDN w:val="0"/>
      <w:spacing w:before="50" w:beforeLines="50" w:after="50" w:afterLines="50" w:line="560" w:lineRule="exact"/>
      <w:ind w:firstLine="0" w:firstLineChars="0"/>
      <w:jc w:val="center"/>
      <w:outlineLvl w:val="1"/>
    </w:pPr>
    <w:rPr>
      <w:rFonts w:ascii="Arial" w:hAnsi="Arial" w:eastAsia="黑体"/>
      <w:bCs/>
      <w:sz w:val="30"/>
      <w:szCs w:val="32"/>
    </w:rPr>
  </w:style>
  <w:style w:type="paragraph" w:styleId="4">
    <w:name w:val="heading 3"/>
    <w:basedOn w:val="1"/>
    <w:next w:val="1"/>
    <w:semiHidden/>
    <w:unhideWhenUsed/>
    <w:qFormat/>
    <w:uiPriority w:val="0"/>
    <w:pPr>
      <w:keepNext/>
      <w:keepLines/>
      <w:spacing w:before="50" w:beforeLines="50" w:after="50" w:afterLines="50" w:line="480" w:lineRule="auto"/>
      <w:ind w:firstLine="0" w:firstLineChars="0"/>
      <w:jc w:val="left"/>
      <w:outlineLvl w:val="2"/>
    </w:pPr>
    <w:rPr>
      <w:bCs/>
      <w:sz w:val="28"/>
      <w:szCs w:val="32"/>
    </w:rPr>
  </w:style>
  <w:style w:type="paragraph" w:styleId="5">
    <w:name w:val="heading 4"/>
    <w:basedOn w:val="1"/>
    <w:next w:val="1"/>
    <w:link w:val="14"/>
    <w:autoRedefine/>
    <w:semiHidden/>
    <w:unhideWhenUsed/>
    <w:qFormat/>
    <w:uiPriority w:val="0"/>
    <w:pPr>
      <w:keepNext/>
      <w:keepLines/>
      <w:spacing w:before="50" w:beforeLines="50" w:beforeAutospacing="0" w:after="50" w:afterLines="50" w:afterAutospacing="0" w:line="480" w:lineRule="auto"/>
      <w:jc w:val="both"/>
      <w:outlineLvl w:val="3"/>
    </w:pPr>
    <w:rPr>
      <w:rFonts w:ascii="Arial" w:hAnsi="Arial" w:eastAsia="宋体"/>
      <w:sz w:val="28"/>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表格标头"/>
    <w:basedOn w:val="1"/>
    <w:next w:val="1"/>
    <w:qFormat/>
    <w:uiPriority w:val="0"/>
    <w:pPr>
      <w:keepNext/>
      <w:keepLines/>
      <w:spacing w:beforeLines="0" w:afterLines="0"/>
      <w:jc w:val="center"/>
      <w:outlineLvl w:val="3"/>
    </w:pPr>
    <w:rPr>
      <w:rFonts w:ascii="Times New Roman" w:hAnsi="Times New Roman" w:eastAsia="黑体"/>
      <w:b/>
      <w:sz w:val="21"/>
    </w:rPr>
  </w:style>
  <w:style w:type="paragraph" w:customStyle="1" w:styleId="13">
    <w:name w:val="表头"/>
    <w:basedOn w:val="1"/>
    <w:autoRedefine/>
    <w:qFormat/>
    <w:uiPriority w:val="0"/>
    <w:pPr>
      <w:ind w:firstLine="0" w:firstLineChars="0"/>
      <w:jc w:val="center"/>
    </w:pPr>
    <w:rPr>
      <w:rFonts w:ascii="Times New Roman" w:hAnsi="Times New Roman" w:eastAsia="黑体" w:cs="仿宋"/>
      <w:b/>
      <w:sz w:val="21"/>
      <w:szCs w:val="32"/>
    </w:rPr>
  </w:style>
  <w:style w:type="character" w:customStyle="1" w:styleId="14">
    <w:name w:val="标题 4 Char"/>
    <w:link w:val="5"/>
    <w:autoRedefine/>
    <w:qFormat/>
    <w:uiPriority w:val="0"/>
    <w:rPr>
      <w:rFonts w:ascii="Arial" w:hAnsi="Arial" w:eastAsia="宋体"/>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0f85a5bf-ac86-49f6-baea-6a9b262e8a27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1F8AC281</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501c4459-7a4a-4809-ab27-3f2c6db9b1fe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1F8AC281</paraID>
      <start xmlns="http://schemas.wps.cn/vas-ai-hub/contract-review">27</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81e26c7c-b07f-4fc5-b94c-5415137586af</errorID>
      <errorWord xmlns="http://schemas.wps.cn/vas-ai-hub/contract-review">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应当</item>
      </candidateList>
      <explain xmlns="http://schemas.wps.cn/vas-ai-hub/contract-review"/>
      <paraID xmlns="http://schemas.wps.cn/vas-ai-hub/contract-review"> 93D5C8E</paraID>
      <start xmlns="http://schemas.wps.cn/vas-ai-hub/contract-review">45</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0649770c-62c6-495f-853e-d813b92955d4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93D5C8E</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e714a10d-8dab-4a82-85db-ed2299f6bd3b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32EC9341</paraID>
      <start xmlns="http://schemas.wps.cn/vas-ai-hub/contract-review">30</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e3ac5fbf-d6b5-4d93-bfce-be198efe286d</errorID>
      <errorWord xmlns="http://schemas.wps.cn/vas-ai-hub/contract-review">自治区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自治区</item>
      </candidateList>
      <explain xmlns="http://schemas.wps.cn/vas-ai-hub/contract-review"/>
      <paraID xmlns="http://schemas.wps.cn/vas-ai-hub/contract-review">21A6EA0E</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7e466e5f-977a-4f7d-8a12-96d9c771bafc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397BAFDB</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7240e86b-c743-4063-9972-a87c2dcab159</errorID>
      <errorWord xmlns="http://schemas.wps.cn/vas-ai-hub/contract-review">保险机构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保险机构</item>
      </candidateList>
      <explain xmlns="http://schemas.wps.cn/vas-ai-hub/contract-review"/>
      <paraID xmlns="http://schemas.wps.cn/vas-ai-hub/contract-review">15E3F56E</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e705dbd9-91d5-42fb-8a1f-fd3a26bd118d</errorID>
      <errorWord xmlns="http://schemas.wps.cn/vas-ai-hub/contract-review">保险机构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保险机构</item>
      </candidateList>
      <explain xmlns="http://schemas.wps.cn/vas-ai-hub/contract-review"/>
      <paraID xmlns="http://schemas.wps.cn/vas-ai-hub/contract-review">4A4F9369</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0aa30c8d-503e-4760-94e5-1dfe2c199aed</errorID>
      <errorWord xmlns="http://schemas.wps.cn/vas-ai-hub/contract-review">投保</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投保</item>
      </candidateList>
      <explain xmlns="http://schemas.wps.cn/vas-ai-hub/contract-review"/>
      <paraID xmlns="http://schemas.wps.cn/vas-ai-hub/contract-review">7AF73748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84ebd1c6-3dc4-4031-adec-2f687d751367</errorID>
      <errorWord xmlns="http://schemas.wps.cn/vas-ai-hub/contract-review">自治区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自治区</item>
      </candidateList>
      <explain xmlns="http://schemas.wps.cn/vas-ai-hub/contract-review"/>
      <paraID xmlns="http://schemas.wps.cn/vas-ai-hub/contract-review">13A5655F</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b3191207-7806-4cf1-884b-ab519aa634fd</errorID>
      <errorWord xmlns="http://schemas.wps.cn/vas-ai-hub/contract-review">被保险人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被保险人</item>
      </candidateList>
      <explain xmlns="http://schemas.wps.cn/vas-ai-hub/contract-review"/>
      <paraID xmlns="http://schemas.wps.cn/vas-ai-hub/contract-review">3B9AE41F</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318ba2d9-fccc-4f21-9dbc-1f6236f032b8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6F010DE1</paraID>
      <start xmlns="http://schemas.wps.cn/vas-ai-hub/contract-review">183</start>
      <end xmlns="http://schemas.wps.cn/vas-ai-hub/contract-review">184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fe316fb7-8487-42c8-a787-0fc9b4661839</errorID>
      <errorWord xmlns="http://schemas.wps.cn/vas-ai-hub/contract-review">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安</item>
      </candidateList>
      <explain xmlns="http://schemas.wps.cn/vas-ai-hub/contract-review"/>
      <paraID xmlns="http://schemas.wps.cn/vas-ai-hub/contract-review"> 12E678C</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865f2cb5-3e8e-4d71-949a-f64ab48640b9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22CB31BA</paraID>
      <start xmlns="http://schemas.wps.cn/vas-ai-hub/contract-review">138</start>
      <end xmlns="http://schemas.wps.cn/vas-ai-hub/contract-review">139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7b13da8c-b87f-4042-894a-ff39435a3cec</errorID>
      <errorWord xmlns="http://schemas.wps.cn/vas-ai-hub/contract-review">安全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安全</item>
      </candidateList>
      <explain xmlns="http://schemas.wps.cn/vas-ai-hub/contract-review"/>
      <paraID xmlns="http://schemas.wps.cn/vas-ai-hub/contract-review">7F0EC6CD</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661e5100-8add-4a8b-8171-10ea4b90535e</errorID>
      <errorWord xmlns="http://schemas.wps.cn/vas-ai-hub/contract-review">有</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，有</item>
      </candidateList>
      <explain xmlns="http://schemas.wps.cn/vas-ai-hub/contract-review"/>
      <paraID xmlns="http://schemas.wps.cn/vas-ai-hub/contract-review">7F0EC6CD</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90685b06-ffb9-4de1-a361-46595fcd4cd2</errorID>
      <errorWord xmlns="http://schemas.wps.cn/vas-ai-hub/contract-review">情形的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情形</item>
      </candidateList>
      <explain xmlns="http://schemas.wps.cn/vas-ai-hub/contract-review"/>
      <paraID xmlns="http://schemas.wps.cn/vas-ai-hub/contract-review">513F691B</paraID>
      <start xmlns="http://schemas.wps.cn/vas-ai-hub/contract-review">17</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3d794943-e3e2-4844-9113-165970902426</errorID>
      <errorWord xmlns="http://schemas.wps.cn/vas-ai-hub/contract-review">各级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各级</item>
      </candidateList>
      <explain xmlns="http://schemas.wps.cn/vas-ai-hub/contract-review"/>
      <paraID xmlns="http://schemas.wps.cn/vas-ai-hub/contract-review">59F60A84</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ddcd256e-60e5-4972-9f23-62941c821657</errorID>
      <errorWord xmlns="http://schemas.wps.cn/vas-ai-hub/contract-review">对</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，对</item>
      </candidateList>
      <explain xmlns="http://schemas.wps.cn/vas-ai-hub/contract-review"/>
      <paraID xmlns="http://schemas.wps.cn/vas-ai-hub/contract-review">70DD3939</paraID>
      <start xmlns="http://schemas.wps.cn/vas-ai-hub/contract-review">58</start>
      <end xmlns="http://schemas.wps.cn/vas-ai-hub/contract-review">59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47345710-79b9-4fba-bcf2-121e203feb52</errorID>
      <errorWord xmlns="http://schemas.wps.cn/vas-ai-hub/contract-review">本细则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 本细则</item>
      </candidateList>
      <explain xmlns="http://schemas.wps.cn/vas-ai-hub/contract-review"/>
      <paraID xmlns="http://schemas.wps.cn/vas-ai-hub/contract-review">3196F91A</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b6183aab-893c-492c-9b2f-1144137e4fb5</errorID>
      <errorWord xmlns="http://schemas.wps.cn/vas-ai-hub/contract-review">开展的安全生产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开展安全生产</item>
      </candidateList>
      <explain xmlns="http://schemas.wps.cn/vas-ai-hub/contract-review"/>
      <paraID xmlns="http://schemas.wps.cn/vas-ai-hub/contract-review">1FD523E0</paraID>
      <start xmlns="http://schemas.wps.cn/vas-ai-hub/contract-review">45</start>
      <end xmlns="http://schemas.wps.cn/vas-ai-hub/contract-review">52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a3f023-9333-4d05-b16d-4d11770c7805}">
  <ds:schemaRefs/>
</ds:datastoreItem>
</file>

<file path=docProps/app.xml><?xml version="1.0" encoding="utf-8"?>
<Properties xmlns="http://schemas.openxmlformats.org/officeDocument/2006/extended-properties" xmlns:vt="http://schemas.openxmlformats.org/officeDocument/2006/docPropsVTypes">
  <Pages>12</Pages>
  <Words>507</Words>
  <Characters>511</Characters>
  <Lines>0</Lines>
  <Paragraphs>0</Paragraphs>
  <TotalTime>0</TotalTime>
  <ScaleCrop>false</ScaleCrop>
  <LinksUpToDate>false</LinksUpToDate>
  <CharactersWithSpaces>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2023-11-02T22:58:00Z</dcterms:created>
  <dc:creator>PengZai PC (DELL)</dc:creator>
  <cp:lastModifiedBy>S1mple</cp:lastModifiedBy>
  <cp:lastPrinted>2026-09-25T12:17:00Z</cp:lastPrinted>
  <dcterms:modified xsi:type="dcterms:W3CDTF">2026-09-28T11:37:43Z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6901D071F73E41BAA1E081A3C9AEBFA9_13</vt:lpwstr>
  </property>
  <property fmtid="{D5CDD505-2E9C-101B-9397-08002B2CF9AE}" pid="4" name="KSOTemplateDocerSaveRecord">
    <vt:lpwstr>eyJoZGlkIjoiNDZlZDQxMDQ4ZjdhNzBjZTNhMTAwMjc5MzEzYzkwNjEiLCJ1c2VySWQiOiI3MzM0NTA5NDIifQ==</vt:lpwstr>
  </property>
</Properties>
</file>